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7684A7E6" w:rsidR="00934A35" w:rsidRDefault="00746FA6" w:rsidP="00D462AA">
      <w:pPr>
        <w:pStyle w:val="Title"/>
      </w:pPr>
      <w:r>
        <w:t>Affirmative</w:t>
      </w:r>
      <w:r w:rsidR="00EE1E8E">
        <w:t xml:space="preserve">: </w:t>
      </w:r>
      <w:r w:rsidR="006A399D">
        <w:t>Abolish the Strategic Petroleum Reserve</w:t>
      </w:r>
    </w:p>
    <w:p w14:paraId="16A637BD" w14:textId="72E165D3" w:rsidR="00AF2404" w:rsidRDefault="00746FA6" w:rsidP="00AF2404">
      <w:pPr>
        <w:jc w:val="center"/>
      </w:pPr>
      <w:r>
        <w:t>By Luke Vickers</w:t>
      </w:r>
    </w:p>
    <w:p w14:paraId="7774EA56" w14:textId="5B9A08E7" w:rsidR="003276F1" w:rsidRDefault="003276F1" w:rsidP="003276F1">
      <w:pPr>
        <w:shd w:val="clear" w:color="auto" w:fill="FFFFFF"/>
        <w:spacing w:after="0" w:line="240" w:lineRule="auto"/>
        <w:jc w:val="center"/>
        <w:rPr>
          <w:rStyle w:val="Emphasis"/>
          <w:b/>
        </w:rPr>
      </w:pPr>
      <w:r w:rsidRPr="003276F1">
        <w:rPr>
          <w:rStyle w:val="Emphasis"/>
          <w:b/>
        </w:rPr>
        <w:t xml:space="preserve">Resolved: </w:t>
      </w:r>
      <w:r w:rsidR="008B5DB7" w:rsidRPr="008B5DB7">
        <w:rPr>
          <w:rStyle w:val="Emphasis"/>
          <w:b/>
        </w:rPr>
        <w:t xml:space="preserve">The United States Federal Government should </w:t>
      </w:r>
      <w:r w:rsidR="00746FA6">
        <w:rPr>
          <w:rStyle w:val="Emphasis"/>
          <w:b/>
        </w:rPr>
        <w:t>significantly</w:t>
      </w:r>
      <w:r w:rsidR="008B5DB7" w:rsidRPr="008B5DB7">
        <w:rPr>
          <w:rStyle w:val="Emphasis"/>
          <w:b/>
        </w:rPr>
        <w:t xml:space="preserve"> reform its </w:t>
      </w:r>
      <w:r w:rsidR="00746FA6">
        <w:rPr>
          <w:rStyle w:val="Emphasis"/>
          <w:b/>
        </w:rPr>
        <w:t xml:space="preserve">energy </w:t>
      </w:r>
      <w:r w:rsidR="008B5DB7" w:rsidRPr="008B5DB7">
        <w:rPr>
          <w:rStyle w:val="Emphasis"/>
          <w:b/>
        </w:rPr>
        <w:t>policy.</w:t>
      </w:r>
    </w:p>
    <w:p w14:paraId="0844A480" w14:textId="77777777" w:rsidR="003276F1" w:rsidRPr="003276F1" w:rsidRDefault="003276F1" w:rsidP="003276F1">
      <w:pPr>
        <w:shd w:val="clear" w:color="auto" w:fill="FFFFFF"/>
        <w:spacing w:after="0" w:line="240" w:lineRule="auto"/>
        <w:jc w:val="center"/>
        <w:rPr>
          <w:rStyle w:val="Emphasis"/>
          <w:b/>
        </w:rPr>
      </w:pPr>
    </w:p>
    <w:p w14:paraId="18A9E88D" w14:textId="6F94C69D" w:rsidR="00F07F3F" w:rsidRPr="00F07F3F" w:rsidRDefault="00401039" w:rsidP="00F07F3F">
      <w:pPr>
        <w:pStyle w:val="Case"/>
        <w:numPr>
          <w:ilvl w:val="0"/>
          <w:numId w:val="0"/>
        </w:numPr>
        <w:pBdr>
          <w:bottom w:val="single" w:sz="4" w:space="0" w:color="595959"/>
        </w:pBdr>
        <w:rPr>
          <w:rFonts w:eastAsiaTheme="minorEastAsia"/>
        </w:rPr>
      </w:pPr>
      <w:r>
        <w:rPr>
          <w:rFonts w:eastAsiaTheme="minorEastAsia"/>
        </w:rPr>
        <w:t xml:space="preserve"> </w:t>
      </w:r>
      <w:r w:rsidR="00E81D52">
        <w:rPr>
          <w:rFonts w:eastAsiaTheme="minorEastAsia"/>
        </w:rPr>
        <w:t xml:space="preserve">The federal Strategic Petroleum Reserve </w:t>
      </w:r>
      <w:r w:rsidR="00F46F9F">
        <w:rPr>
          <w:rFonts w:eastAsiaTheme="minorEastAsia"/>
        </w:rPr>
        <w:t>(</w:t>
      </w:r>
      <w:r w:rsidR="00E81D52">
        <w:rPr>
          <w:rFonts w:eastAsiaTheme="minorEastAsia"/>
        </w:rPr>
        <w:t>SPR</w:t>
      </w:r>
      <w:r w:rsidR="00F46F9F">
        <w:rPr>
          <w:rFonts w:eastAsiaTheme="minorEastAsia"/>
        </w:rPr>
        <w:t>) was created in the 1970s after the supply shocks caused by the oil embargo (1973-74) and other market disruptions in that era.</w:t>
      </w:r>
      <w:r w:rsidR="00723C19">
        <w:rPr>
          <w:rFonts w:eastAsiaTheme="minorEastAsia"/>
        </w:rPr>
        <w:t xml:space="preserve"> </w:t>
      </w:r>
      <w:r w:rsidR="00F46F9F">
        <w:rPr>
          <w:rFonts w:eastAsiaTheme="minorEastAsia"/>
        </w:rPr>
        <w:t xml:space="preserve">It consists of giant </w:t>
      </w:r>
      <w:r w:rsidR="00D32D64">
        <w:rPr>
          <w:rFonts w:eastAsiaTheme="minorEastAsia"/>
        </w:rPr>
        <w:t xml:space="preserve">underground </w:t>
      </w:r>
      <w:r w:rsidR="00F46F9F">
        <w:rPr>
          <w:rFonts w:eastAsiaTheme="minorEastAsia"/>
        </w:rPr>
        <w:t>salt caverns with millions of barrels of crude oil that can be released by the President in case of</w:t>
      </w:r>
      <w:r w:rsidR="00E81D52">
        <w:rPr>
          <w:rFonts w:eastAsiaTheme="minorEastAsia"/>
        </w:rPr>
        <w:t xml:space="preserve"> a supply disruption. This reserve, however, is unnecessary – the private market could solve for a disruption without the SPR – and a government reserve </w:t>
      </w:r>
      <w:r w:rsidR="00F46F9F">
        <w:rPr>
          <w:rFonts w:eastAsiaTheme="minorEastAsia"/>
        </w:rPr>
        <w:t>makes disruptions worse by removing the incentive for private markets to solve.</w:t>
      </w:r>
      <w:r w:rsidR="00723C19">
        <w:rPr>
          <w:rFonts w:eastAsiaTheme="minorEastAsia"/>
        </w:rPr>
        <w:t xml:space="preserve"> </w:t>
      </w:r>
      <w:r w:rsidR="00F46F9F">
        <w:rPr>
          <w:rFonts w:eastAsiaTheme="minorEastAsia"/>
        </w:rPr>
        <w:t>T</w:t>
      </w:r>
      <w:r w:rsidR="00E81D52">
        <w:rPr>
          <w:rFonts w:eastAsiaTheme="minorEastAsia"/>
        </w:rPr>
        <w:t xml:space="preserve">he reserve is costly </w:t>
      </w:r>
      <w:r w:rsidR="00F46F9F">
        <w:rPr>
          <w:rFonts w:eastAsiaTheme="minorEastAsia"/>
        </w:rPr>
        <w:t xml:space="preserve">to taxpayers </w:t>
      </w:r>
      <w:r w:rsidR="00E81D52">
        <w:rPr>
          <w:rFonts w:eastAsiaTheme="minorEastAsia"/>
        </w:rPr>
        <w:t>and polluted with dangerous gas.</w:t>
      </w:r>
      <w:r w:rsidR="00723C19">
        <w:rPr>
          <w:rFonts w:eastAsiaTheme="minorEastAsia"/>
        </w:rPr>
        <w:t xml:space="preserve"> </w:t>
      </w:r>
      <w:r w:rsidR="00F46F9F">
        <w:rPr>
          <w:rFonts w:eastAsiaTheme="minorEastAsia"/>
        </w:rPr>
        <w:t>Its very existence creates an incentive for politicians to manipulate oil markets for short-term political gain, at long-term economic cost to the public</w:t>
      </w:r>
      <w:r w:rsidR="00E81D52">
        <w:rPr>
          <w:rFonts w:eastAsiaTheme="minorEastAsia"/>
        </w:rPr>
        <w:t xml:space="preserve">. This case argues that the SPR </w:t>
      </w:r>
      <w:r w:rsidR="00F46F9F">
        <w:rPr>
          <w:rFonts w:eastAsiaTheme="minorEastAsia"/>
        </w:rPr>
        <w:t>does more harm than good and</w:t>
      </w:r>
      <w:r w:rsidR="00E81D52">
        <w:rPr>
          <w:rFonts w:eastAsiaTheme="minorEastAsia"/>
        </w:rPr>
        <w:t xml:space="preserve"> should be abolished.</w:t>
      </w:r>
      <w:r w:rsidR="00723C19">
        <w:rPr>
          <w:rFonts w:eastAsiaTheme="minorEastAsia"/>
        </w:rPr>
        <w:t xml:space="preserve"> </w:t>
      </w:r>
    </w:p>
    <w:p w14:paraId="124D4C5B" w14:textId="16DD1D9D" w:rsidR="004A480E"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4A480E">
        <w:rPr>
          <w:noProof/>
        </w:rPr>
        <w:t>Affirmative: Abolish the Strategic Petroleum Reserve</w:t>
      </w:r>
      <w:r w:rsidR="004A480E">
        <w:rPr>
          <w:noProof/>
        </w:rPr>
        <w:tab/>
      </w:r>
      <w:r w:rsidR="004A480E">
        <w:rPr>
          <w:noProof/>
        </w:rPr>
        <w:fldChar w:fldCharType="begin"/>
      </w:r>
      <w:r w:rsidR="004A480E">
        <w:rPr>
          <w:noProof/>
        </w:rPr>
        <w:instrText xml:space="preserve"> PAGEREF _Toc22383902 \h </w:instrText>
      </w:r>
      <w:r w:rsidR="004A480E">
        <w:rPr>
          <w:noProof/>
        </w:rPr>
      </w:r>
      <w:r w:rsidR="004A480E">
        <w:rPr>
          <w:noProof/>
        </w:rPr>
        <w:fldChar w:fldCharType="separate"/>
      </w:r>
      <w:r w:rsidR="004A480E">
        <w:rPr>
          <w:noProof/>
        </w:rPr>
        <w:t>3</w:t>
      </w:r>
      <w:r w:rsidR="004A480E">
        <w:rPr>
          <w:noProof/>
        </w:rPr>
        <w:fldChar w:fldCharType="end"/>
      </w:r>
    </w:p>
    <w:p w14:paraId="3A76F42F" w14:textId="1D894A63" w:rsidR="004A480E" w:rsidRDefault="004A480E">
      <w:pPr>
        <w:pStyle w:val="TOC2"/>
        <w:rPr>
          <w:rFonts w:asciiTheme="minorHAnsi" w:eastAsiaTheme="minorEastAsia" w:hAnsiTheme="minorHAnsi" w:cstheme="minorBidi"/>
          <w:noProof/>
          <w:sz w:val="22"/>
        </w:rPr>
      </w:pPr>
      <w:r>
        <w:rPr>
          <w:noProof/>
        </w:rPr>
        <w:t>OBSERVATION 1: Definitions. We present two terms that are key to this debate round:</w:t>
      </w:r>
      <w:r>
        <w:rPr>
          <w:noProof/>
        </w:rPr>
        <w:tab/>
      </w:r>
      <w:r>
        <w:rPr>
          <w:noProof/>
        </w:rPr>
        <w:fldChar w:fldCharType="begin"/>
      </w:r>
      <w:r>
        <w:rPr>
          <w:noProof/>
        </w:rPr>
        <w:instrText xml:space="preserve"> PAGEREF _Toc22383903 \h </w:instrText>
      </w:r>
      <w:r>
        <w:rPr>
          <w:noProof/>
        </w:rPr>
      </w:r>
      <w:r>
        <w:rPr>
          <w:noProof/>
        </w:rPr>
        <w:fldChar w:fldCharType="separate"/>
      </w:r>
      <w:r>
        <w:rPr>
          <w:noProof/>
        </w:rPr>
        <w:t>3</w:t>
      </w:r>
      <w:r>
        <w:rPr>
          <w:noProof/>
        </w:rPr>
        <w:fldChar w:fldCharType="end"/>
      </w:r>
    </w:p>
    <w:p w14:paraId="0082809A" w14:textId="62AA97D7" w:rsidR="004A480E" w:rsidRDefault="004A480E">
      <w:pPr>
        <w:pStyle w:val="TOC3"/>
        <w:rPr>
          <w:rFonts w:asciiTheme="minorHAnsi" w:eastAsiaTheme="minorEastAsia" w:hAnsiTheme="minorHAnsi" w:cstheme="minorBidi"/>
          <w:noProof/>
          <w:sz w:val="22"/>
        </w:rPr>
      </w:pPr>
      <w:r>
        <w:rPr>
          <w:noProof/>
        </w:rPr>
        <w:t>Energy Policy</w:t>
      </w:r>
      <w:r>
        <w:rPr>
          <w:noProof/>
        </w:rPr>
        <w:tab/>
      </w:r>
      <w:r>
        <w:rPr>
          <w:noProof/>
        </w:rPr>
        <w:fldChar w:fldCharType="begin"/>
      </w:r>
      <w:r>
        <w:rPr>
          <w:noProof/>
        </w:rPr>
        <w:instrText xml:space="preserve"> PAGEREF _Toc22383904 \h </w:instrText>
      </w:r>
      <w:r>
        <w:rPr>
          <w:noProof/>
        </w:rPr>
      </w:r>
      <w:r>
        <w:rPr>
          <w:noProof/>
        </w:rPr>
        <w:fldChar w:fldCharType="separate"/>
      </w:r>
      <w:r>
        <w:rPr>
          <w:noProof/>
        </w:rPr>
        <w:t>3</w:t>
      </w:r>
      <w:r>
        <w:rPr>
          <w:noProof/>
        </w:rPr>
        <w:fldChar w:fldCharType="end"/>
      </w:r>
    </w:p>
    <w:p w14:paraId="298C3909" w14:textId="25BEDF07" w:rsidR="004A480E" w:rsidRDefault="004A480E">
      <w:pPr>
        <w:pStyle w:val="TOC3"/>
        <w:rPr>
          <w:rFonts w:asciiTheme="minorHAnsi" w:eastAsiaTheme="minorEastAsia" w:hAnsiTheme="minorHAnsi" w:cstheme="minorBidi"/>
          <w:noProof/>
          <w:sz w:val="22"/>
        </w:rPr>
      </w:pPr>
      <w:r>
        <w:rPr>
          <w:noProof/>
        </w:rPr>
        <w:t>The Strategic Petroleum Reserve or “SPR”</w:t>
      </w:r>
      <w:r>
        <w:rPr>
          <w:noProof/>
        </w:rPr>
        <w:tab/>
      </w:r>
      <w:r>
        <w:rPr>
          <w:noProof/>
        </w:rPr>
        <w:fldChar w:fldCharType="begin"/>
      </w:r>
      <w:r>
        <w:rPr>
          <w:noProof/>
        </w:rPr>
        <w:instrText xml:space="preserve"> PAGEREF _Toc22383905 \h </w:instrText>
      </w:r>
      <w:r>
        <w:rPr>
          <w:noProof/>
        </w:rPr>
      </w:r>
      <w:r>
        <w:rPr>
          <w:noProof/>
        </w:rPr>
        <w:fldChar w:fldCharType="separate"/>
      </w:r>
      <w:r>
        <w:rPr>
          <w:noProof/>
        </w:rPr>
        <w:t>3</w:t>
      </w:r>
      <w:r>
        <w:rPr>
          <w:noProof/>
        </w:rPr>
        <w:fldChar w:fldCharType="end"/>
      </w:r>
    </w:p>
    <w:p w14:paraId="0374E4BE" w14:textId="6A3F3661" w:rsidR="004A480E" w:rsidRDefault="004A480E">
      <w:pPr>
        <w:pStyle w:val="TOC2"/>
        <w:rPr>
          <w:rFonts w:asciiTheme="minorHAnsi" w:eastAsiaTheme="minorEastAsia" w:hAnsiTheme="minorHAnsi" w:cstheme="minorBidi"/>
          <w:noProof/>
          <w:sz w:val="22"/>
        </w:rPr>
      </w:pPr>
      <w:r>
        <w:rPr>
          <w:noProof/>
        </w:rPr>
        <w:t xml:space="preserve">OBSERVATION 2. </w:t>
      </w:r>
      <w:r w:rsidRPr="00480310">
        <w:rPr>
          <w:noProof/>
          <w:color w:val="000000" w:themeColor="text1"/>
        </w:rPr>
        <w:t>HARMS</w:t>
      </w:r>
      <w:r>
        <w:rPr>
          <w:noProof/>
        </w:rPr>
        <w:tab/>
      </w:r>
      <w:r>
        <w:rPr>
          <w:noProof/>
        </w:rPr>
        <w:fldChar w:fldCharType="begin"/>
      </w:r>
      <w:r>
        <w:rPr>
          <w:noProof/>
        </w:rPr>
        <w:instrText xml:space="preserve"> PAGEREF _Toc22383906 \h </w:instrText>
      </w:r>
      <w:r>
        <w:rPr>
          <w:noProof/>
        </w:rPr>
      </w:r>
      <w:r>
        <w:rPr>
          <w:noProof/>
        </w:rPr>
        <w:fldChar w:fldCharType="separate"/>
      </w:r>
      <w:r>
        <w:rPr>
          <w:noProof/>
        </w:rPr>
        <w:t>3</w:t>
      </w:r>
      <w:r>
        <w:rPr>
          <w:noProof/>
        </w:rPr>
        <w:fldChar w:fldCharType="end"/>
      </w:r>
    </w:p>
    <w:p w14:paraId="3677FD2A" w14:textId="0DA20B16" w:rsidR="004A480E" w:rsidRDefault="004A480E">
      <w:pPr>
        <w:pStyle w:val="TOC2"/>
        <w:rPr>
          <w:rFonts w:asciiTheme="minorHAnsi" w:eastAsiaTheme="minorEastAsia" w:hAnsiTheme="minorHAnsi" w:cstheme="minorBidi"/>
          <w:noProof/>
          <w:sz w:val="22"/>
        </w:rPr>
      </w:pPr>
      <w:r>
        <w:rPr>
          <w:noProof/>
        </w:rPr>
        <w:t>HARM 1.</w:t>
      </w:r>
      <w:r w:rsidR="00723C19">
        <w:rPr>
          <w:noProof/>
        </w:rPr>
        <w:t xml:space="preserve"> </w:t>
      </w:r>
      <w:r>
        <w:rPr>
          <w:noProof/>
        </w:rPr>
        <w:t>Poisonous Gas</w:t>
      </w:r>
      <w:r>
        <w:rPr>
          <w:noProof/>
        </w:rPr>
        <w:tab/>
      </w:r>
      <w:r>
        <w:rPr>
          <w:noProof/>
        </w:rPr>
        <w:fldChar w:fldCharType="begin"/>
      </w:r>
      <w:r>
        <w:rPr>
          <w:noProof/>
        </w:rPr>
        <w:instrText xml:space="preserve"> PAGEREF _Toc22383907 \h </w:instrText>
      </w:r>
      <w:r>
        <w:rPr>
          <w:noProof/>
        </w:rPr>
      </w:r>
      <w:r>
        <w:rPr>
          <w:noProof/>
        </w:rPr>
        <w:fldChar w:fldCharType="separate"/>
      </w:r>
      <w:r>
        <w:rPr>
          <w:noProof/>
        </w:rPr>
        <w:t>3</w:t>
      </w:r>
      <w:r>
        <w:rPr>
          <w:noProof/>
        </w:rPr>
        <w:fldChar w:fldCharType="end"/>
      </w:r>
    </w:p>
    <w:p w14:paraId="343815EE" w14:textId="5AB7B80D" w:rsidR="004A480E" w:rsidRDefault="004A480E">
      <w:pPr>
        <w:pStyle w:val="TOC3"/>
        <w:rPr>
          <w:rFonts w:asciiTheme="minorHAnsi" w:eastAsiaTheme="minorEastAsia" w:hAnsiTheme="minorHAnsi" w:cstheme="minorBidi"/>
          <w:noProof/>
          <w:sz w:val="22"/>
        </w:rPr>
      </w:pPr>
      <w:r>
        <w:rPr>
          <w:noProof/>
        </w:rPr>
        <w:t>A.</w:t>
      </w:r>
      <w:r w:rsidR="00723C19">
        <w:rPr>
          <w:noProof/>
        </w:rPr>
        <w:t xml:space="preserve"> </w:t>
      </w:r>
      <w:r>
        <w:rPr>
          <w:noProof/>
        </w:rPr>
        <w:t>The SPR is tainted with poisonous gas</w:t>
      </w:r>
      <w:r>
        <w:rPr>
          <w:noProof/>
        </w:rPr>
        <w:tab/>
      </w:r>
      <w:r>
        <w:rPr>
          <w:noProof/>
        </w:rPr>
        <w:fldChar w:fldCharType="begin"/>
      </w:r>
      <w:r>
        <w:rPr>
          <w:noProof/>
        </w:rPr>
        <w:instrText xml:space="preserve"> PAGEREF _Toc22383908 \h </w:instrText>
      </w:r>
      <w:r>
        <w:rPr>
          <w:noProof/>
        </w:rPr>
      </w:r>
      <w:r>
        <w:rPr>
          <w:noProof/>
        </w:rPr>
        <w:fldChar w:fldCharType="separate"/>
      </w:r>
      <w:r>
        <w:rPr>
          <w:noProof/>
        </w:rPr>
        <w:t>3</w:t>
      </w:r>
      <w:r>
        <w:rPr>
          <w:noProof/>
        </w:rPr>
        <w:fldChar w:fldCharType="end"/>
      </w:r>
    </w:p>
    <w:p w14:paraId="66AE0933" w14:textId="0452FE90" w:rsidR="004A480E" w:rsidRDefault="004A480E">
      <w:pPr>
        <w:pStyle w:val="TOC3"/>
        <w:rPr>
          <w:rFonts w:asciiTheme="minorHAnsi" w:eastAsiaTheme="minorEastAsia" w:hAnsiTheme="minorHAnsi" w:cstheme="minorBidi"/>
          <w:noProof/>
          <w:sz w:val="22"/>
        </w:rPr>
      </w:pPr>
      <w:r>
        <w:rPr>
          <w:noProof/>
        </w:rPr>
        <w:t>B.</w:t>
      </w:r>
      <w:r w:rsidR="00723C19">
        <w:rPr>
          <w:noProof/>
        </w:rPr>
        <w:t xml:space="preserve"> </w:t>
      </w:r>
      <w:r>
        <w:rPr>
          <w:noProof/>
        </w:rPr>
        <w:t>The concentration of poison gas “H2S” – hydrogen sulfide -</w:t>
      </w:r>
      <w:r w:rsidR="00723C19">
        <w:rPr>
          <w:noProof/>
        </w:rPr>
        <w:t xml:space="preserve"> </w:t>
      </w:r>
      <w:r>
        <w:rPr>
          <w:noProof/>
        </w:rPr>
        <w:t>is enough to kill someone nearly instantly</w:t>
      </w:r>
      <w:r>
        <w:rPr>
          <w:noProof/>
        </w:rPr>
        <w:tab/>
      </w:r>
      <w:r>
        <w:rPr>
          <w:noProof/>
        </w:rPr>
        <w:fldChar w:fldCharType="begin"/>
      </w:r>
      <w:r>
        <w:rPr>
          <w:noProof/>
        </w:rPr>
        <w:instrText xml:space="preserve"> PAGEREF _Toc22383909 \h </w:instrText>
      </w:r>
      <w:r>
        <w:rPr>
          <w:noProof/>
        </w:rPr>
      </w:r>
      <w:r>
        <w:rPr>
          <w:noProof/>
        </w:rPr>
        <w:fldChar w:fldCharType="separate"/>
      </w:r>
      <w:r>
        <w:rPr>
          <w:noProof/>
        </w:rPr>
        <w:t>3</w:t>
      </w:r>
      <w:r>
        <w:rPr>
          <w:noProof/>
        </w:rPr>
        <w:fldChar w:fldCharType="end"/>
      </w:r>
    </w:p>
    <w:p w14:paraId="3DA3DD24" w14:textId="71EB278C" w:rsidR="004A480E" w:rsidRDefault="004A480E">
      <w:pPr>
        <w:pStyle w:val="TOC3"/>
        <w:rPr>
          <w:rFonts w:asciiTheme="minorHAnsi" w:eastAsiaTheme="minorEastAsia" w:hAnsiTheme="minorHAnsi" w:cstheme="minorBidi"/>
          <w:noProof/>
          <w:sz w:val="22"/>
        </w:rPr>
      </w:pPr>
      <w:r>
        <w:rPr>
          <w:noProof/>
        </w:rPr>
        <w:t>C.</w:t>
      </w:r>
      <w:r w:rsidR="00723C19">
        <w:rPr>
          <w:noProof/>
        </w:rPr>
        <w:t xml:space="preserve"> </w:t>
      </w:r>
      <w:r>
        <w:rPr>
          <w:noProof/>
        </w:rPr>
        <w:t>Reduced effectiveness.</w:t>
      </w:r>
      <w:r w:rsidR="00723C19">
        <w:rPr>
          <w:noProof/>
        </w:rPr>
        <w:t xml:space="preserve"> </w:t>
      </w:r>
      <w:r>
        <w:rPr>
          <w:noProof/>
        </w:rPr>
        <w:t>In addition to potentially killing people, the SPR would be less useful during an oil shortage because we would have to spend time and money cleaning the petroleum</w:t>
      </w:r>
      <w:r>
        <w:rPr>
          <w:noProof/>
        </w:rPr>
        <w:tab/>
      </w:r>
      <w:r>
        <w:rPr>
          <w:noProof/>
        </w:rPr>
        <w:fldChar w:fldCharType="begin"/>
      </w:r>
      <w:r>
        <w:rPr>
          <w:noProof/>
        </w:rPr>
        <w:instrText xml:space="preserve"> PAGEREF _Toc22383910 \h </w:instrText>
      </w:r>
      <w:r>
        <w:rPr>
          <w:noProof/>
        </w:rPr>
      </w:r>
      <w:r>
        <w:rPr>
          <w:noProof/>
        </w:rPr>
        <w:fldChar w:fldCharType="separate"/>
      </w:r>
      <w:r>
        <w:rPr>
          <w:noProof/>
        </w:rPr>
        <w:t>4</w:t>
      </w:r>
      <w:r>
        <w:rPr>
          <w:noProof/>
        </w:rPr>
        <w:fldChar w:fldCharType="end"/>
      </w:r>
    </w:p>
    <w:p w14:paraId="52679255" w14:textId="26FC523C" w:rsidR="004A480E" w:rsidRDefault="004A480E">
      <w:pPr>
        <w:pStyle w:val="TOC2"/>
        <w:rPr>
          <w:rFonts w:asciiTheme="minorHAnsi" w:eastAsiaTheme="minorEastAsia" w:hAnsiTheme="minorHAnsi" w:cstheme="minorBidi"/>
          <w:noProof/>
          <w:sz w:val="22"/>
        </w:rPr>
      </w:pPr>
      <w:r>
        <w:rPr>
          <w:noProof/>
        </w:rPr>
        <w:t>HARM 2.</w:t>
      </w:r>
      <w:r w:rsidR="00723C19">
        <w:rPr>
          <w:noProof/>
        </w:rPr>
        <w:t xml:space="preserve"> </w:t>
      </w:r>
      <w:r>
        <w:rPr>
          <w:noProof/>
        </w:rPr>
        <w:t>Ineffective oil emergency response</w:t>
      </w:r>
      <w:r>
        <w:rPr>
          <w:noProof/>
        </w:rPr>
        <w:tab/>
      </w:r>
      <w:r>
        <w:rPr>
          <w:noProof/>
        </w:rPr>
        <w:fldChar w:fldCharType="begin"/>
      </w:r>
      <w:r>
        <w:rPr>
          <w:noProof/>
        </w:rPr>
        <w:instrText xml:space="preserve"> PAGEREF _Toc22383911 \h </w:instrText>
      </w:r>
      <w:r>
        <w:rPr>
          <w:noProof/>
        </w:rPr>
      </w:r>
      <w:r>
        <w:rPr>
          <w:noProof/>
        </w:rPr>
        <w:fldChar w:fldCharType="separate"/>
      </w:r>
      <w:r>
        <w:rPr>
          <w:noProof/>
        </w:rPr>
        <w:t>4</w:t>
      </w:r>
      <w:r>
        <w:rPr>
          <w:noProof/>
        </w:rPr>
        <w:fldChar w:fldCharType="end"/>
      </w:r>
    </w:p>
    <w:p w14:paraId="6A65A210" w14:textId="40E72FEF" w:rsidR="004A480E" w:rsidRDefault="004A480E">
      <w:pPr>
        <w:pStyle w:val="TOC3"/>
        <w:rPr>
          <w:rFonts w:asciiTheme="minorHAnsi" w:eastAsiaTheme="minorEastAsia" w:hAnsiTheme="minorHAnsi" w:cstheme="minorBidi"/>
          <w:noProof/>
          <w:sz w:val="22"/>
        </w:rPr>
      </w:pPr>
      <w:r>
        <w:rPr>
          <w:noProof/>
        </w:rPr>
        <w:t>A.</w:t>
      </w:r>
      <w:r w:rsidR="00723C19">
        <w:rPr>
          <w:noProof/>
        </w:rPr>
        <w:t xml:space="preserve"> </w:t>
      </w:r>
      <w:r>
        <w:rPr>
          <w:noProof/>
        </w:rPr>
        <w:t>SPR limits the incentive for private companies to respond to oil shortages in the market</w:t>
      </w:r>
      <w:r>
        <w:rPr>
          <w:noProof/>
        </w:rPr>
        <w:tab/>
      </w:r>
      <w:r>
        <w:rPr>
          <w:noProof/>
        </w:rPr>
        <w:fldChar w:fldCharType="begin"/>
      </w:r>
      <w:r>
        <w:rPr>
          <w:noProof/>
        </w:rPr>
        <w:instrText xml:space="preserve"> PAGEREF _Toc22383912 \h </w:instrText>
      </w:r>
      <w:r>
        <w:rPr>
          <w:noProof/>
        </w:rPr>
      </w:r>
      <w:r>
        <w:rPr>
          <w:noProof/>
        </w:rPr>
        <w:fldChar w:fldCharType="separate"/>
      </w:r>
      <w:r>
        <w:rPr>
          <w:noProof/>
        </w:rPr>
        <w:t>4</w:t>
      </w:r>
      <w:r>
        <w:rPr>
          <w:noProof/>
        </w:rPr>
        <w:fldChar w:fldCharType="end"/>
      </w:r>
    </w:p>
    <w:p w14:paraId="58074230" w14:textId="6AF774B3" w:rsidR="004A480E" w:rsidRDefault="004A480E">
      <w:pPr>
        <w:pStyle w:val="TOC3"/>
        <w:rPr>
          <w:rFonts w:asciiTheme="minorHAnsi" w:eastAsiaTheme="minorEastAsia" w:hAnsiTheme="minorHAnsi" w:cstheme="minorBidi"/>
          <w:noProof/>
          <w:sz w:val="22"/>
        </w:rPr>
      </w:pPr>
      <w:r>
        <w:rPr>
          <w:noProof/>
        </w:rPr>
        <w:t>B.</w:t>
      </w:r>
      <w:r w:rsidR="00723C19">
        <w:rPr>
          <w:noProof/>
        </w:rPr>
        <w:t xml:space="preserve"> </w:t>
      </w:r>
      <w:r>
        <w:rPr>
          <w:noProof/>
        </w:rPr>
        <w:t>Impact:</w:t>
      </w:r>
      <w:r w:rsidR="00723C19">
        <w:rPr>
          <w:noProof/>
        </w:rPr>
        <w:t xml:space="preserve"> </w:t>
      </w:r>
      <w:r>
        <w:rPr>
          <w:noProof/>
        </w:rPr>
        <w:t>Makes the problem SPR was supposed to solve, even worse.</w:t>
      </w:r>
      <w:r w:rsidR="00723C19">
        <w:rPr>
          <w:noProof/>
        </w:rPr>
        <w:t xml:space="preserve"> </w:t>
      </w:r>
      <w:r>
        <w:rPr>
          <w:noProof/>
        </w:rPr>
        <w:t>Oil price volatility hurts consumers and the entire economy</w:t>
      </w:r>
      <w:r>
        <w:rPr>
          <w:noProof/>
        </w:rPr>
        <w:tab/>
      </w:r>
      <w:r>
        <w:rPr>
          <w:noProof/>
        </w:rPr>
        <w:fldChar w:fldCharType="begin"/>
      </w:r>
      <w:r>
        <w:rPr>
          <w:noProof/>
        </w:rPr>
        <w:instrText xml:space="preserve"> PAGEREF _Toc22383913 \h </w:instrText>
      </w:r>
      <w:r>
        <w:rPr>
          <w:noProof/>
        </w:rPr>
      </w:r>
      <w:r>
        <w:rPr>
          <w:noProof/>
        </w:rPr>
        <w:fldChar w:fldCharType="separate"/>
      </w:r>
      <w:r>
        <w:rPr>
          <w:noProof/>
        </w:rPr>
        <w:t>4</w:t>
      </w:r>
      <w:r>
        <w:rPr>
          <w:noProof/>
        </w:rPr>
        <w:fldChar w:fldCharType="end"/>
      </w:r>
    </w:p>
    <w:p w14:paraId="29830760" w14:textId="1AF2C26D" w:rsidR="004A480E" w:rsidRDefault="004A480E">
      <w:pPr>
        <w:pStyle w:val="TOC2"/>
        <w:rPr>
          <w:rFonts w:asciiTheme="minorHAnsi" w:eastAsiaTheme="minorEastAsia" w:hAnsiTheme="minorHAnsi" w:cstheme="minorBidi"/>
          <w:noProof/>
          <w:sz w:val="22"/>
        </w:rPr>
      </w:pPr>
      <w:r>
        <w:rPr>
          <w:noProof/>
        </w:rPr>
        <w:t>HARM 3.</w:t>
      </w:r>
      <w:r w:rsidR="00723C19">
        <w:rPr>
          <w:noProof/>
        </w:rPr>
        <w:t xml:space="preserve"> </w:t>
      </w:r>
      <w:r>
        <w:rPr>
          <w:noProof/>
        </w:rPr>
        <w:t>Wasted taxpayer dollars</w:t>
      </w:r>
      <w:r>
        <w:rPr>
          <w:noProof/>
        </w:rPr>
        <w:tab/>
      </w:r>
      <w:r>
        <w:rPr>
          <w:noProof/>
        </w:rPr>
        <w:fldChar w:fldCharType="begin"/>
      </w:r>
      <w:r>
        <w:rPr>
          <w:noProof/>
        </w:rPr>
        <w:instrText xml:space="preserve"> PAGEREF _Toc22383914 \h </w:instrText>
      </w:r>
      <w:r>
        <w:rPr>
          <w:noProof/>
        </w:rPr>
      </w:r>
      <w:r>
        <w:rPr>
          <w:noProof/>
        </w:rPr>
        <w:fldChar w:fldCharType="separate"/>
      </w:r>
      <w:r>
        <w:rPr>
          <w:noProof/>
        </w:rPr>
        <w:t>4</w:t>
      </w:r>
      <w:r>
        <w:rPr>
          <w:noProof/>
        </w:rPr>
        <w:fldChar w:fldCharType="end"/>
      </w:r>
    </w:p>
    <w:p w14:paraId="22BEC2D9" w14:textId="672D3A63" w:rsidR="004A480E" w:rsidRDefault="004A480E">
      <w:pPr>
        <w:pStyle w:val="TOC3"/>
        <w:rPr>
          <w:rFonts w:asciiTheme="minorHAnsi" w:eastAsiaTheme="minorEastAsia" w:hAnsiTheme="minorHAnsi" w:cstheme="minorBidi"/>
          <w:noProof/>
          <w:sz w:val="22"/>
        </w:rPr>
      </w:pPr>
      <w:r>
        <w:rPr>
          <w:noProof/>
        </w:rPr>
        <w:t>A.</w:t>
      </w:r>
      <w:r w:rsidR="00723C19">
        <w:rPr>
          <w:noProof/>
        </w:rPr>
        <w:t xml:space="preserve"> </w:t>
      </w:r>
      <w:r>
        <w:rPr>
          <w:noProof/>
        </w:rPr>
        <w:t>Billions of dollars in taxpayer costs</w:t>
      </w:r>
      <w:r>
        <w:rPr>
          <w:noProof/>
        </w:rPr>
        <w:tab/>
      </w:r>
      <w:r>
        <w:rPr>
          <w:noProof/>
        </w:rPr>
        <w:fldChar w:fldCharType="begin"/>
      </w:r>
      <w:r>
        <w:rPr>
          <w:noProof/>
        </w:rPr>
        <w:instrText xml:space="preserve"> PAGEREF _Toc22383915 \h </w:instrText>
      </w:r>
      <w:r>
        <w:rPr>
          <w:noProof/>
        </w:rPr>
      </w:r>
      <w:r>
        <w:rPr>
          <w:noProof/>
        </w:rPr>
        <w:fldChar w:fldCharType="separate"/>
      </w:r>
      <w:r>
        <w:rPr>
          <w:noProof/>
        </w:rPr>
        <w:t>4</w:t>
      </w:r>
      <w:r>
        <w:rPr>
          <w:noProof/>
        </w:rPr>
        <w:fldChar w:fldCharType="end"/>
      </w:r>
    </w:p>
    <w:p w14:paraId="0B45B190" w14:textId="257BC273" w:rsidR="004A480E" w:rsidRDefault="004A480E">
      <w:pPr>
        <w:pStyle w:val="TOC3"/>
        <w:rPr>
          <w:rFonts w:asciiTheme="minorHAnsi" w:eastAsiaTheme="minorEastAsia" w:hAnsiTheme="minorHAnsi" w:cstheme="minorBidi"/>
          <w:noProof/>
          <w:sz w:val="22"/>
        </w:rPr>
      </w:pPr>
      <w:r>
        <w:rPr>
          <w:noProof/>
        </w:rPr>
        <w:t>B.</w:t>
      </w:r>
      <w:r w:rsidR="00723C19">
        <w:rPr>
          <w:noProof/>
        </w:rPr>
        <w:t xml:space="preserve"> </w:t>
      </w:r>
      <w:r>
        <w:rPr>
          <w:noProof/>
        </w:rPr>
        <w:t>No benefit.</w:t>
      </w:r>
      <w:r w:rsidR="00723C19">
        <w:rPr>
          <w:noProof/>
        </w:rPr>
        <w:t xml:space="preserve"> </w:t>
      </w:r>
      <w:r>
        <w:rPr>
          <w:noProof/>
        </w:rPr>
        <w:t>SPR is useless because world market conditions have changed. Supply disruptions are no longer a problem</w:t>
      </w:r>
      <w:r>
        <w:rPr>
          <w:noProof/>
        </w:rPr>
        <w:tab/>
      </w:r>
      <w:r>
        <w:rPr>
          <w:noProof/>
        </w:rPr>
        <w:fldChar w:fldCharType="begin"/>
      </w:r>
      <w:r>
        <w:rPr>
          <w:noProof/>
        </w:rPr>
        <w:instrText xml:space="preserve"> PAGEREF _Toc22383916 \h </w:instrText>
      </w:r>
      <w:r>
        <w:rPr>
          <w:noProof/>
        </w:rPr>
      </w:r>
      <w:r>
        <w:rPr>
          <w:noProof/>
        </w:rPr>
        <w:fldChar w:fldCharType="separate"/>
      </w:r>
      <w:r>
        <w:rPr>
          <w:noProof/>
        </w:rPr>
        <w:t>5</w:t>
      </w:r>
      <w:r>
        <w:rPr>
          <w:noProof/>
        </w:rPr>
        <w:fldChar w:fldCharType="end"/>
      </w:r>
    </w:p>
    <w:p w14:paraId="0BB993AB" w14:textId="75EEB991" w:rsidR="004A480E" w:rsidRDefault="004A480E">
      <w:pPr>
        <w:pStyle w:val="TOC2"/>
        <w:rPr>
          <w:rFonts w:asciiTheme="minorHAnsi" w:eastAsiaTheme="minorEastAsia" w:hAnsiTheme="minorHAnsi" w:cstheme="minorBidi"/>
          <w:noProof/>
          <w:sz w:val="22"/>
        </w:rPr>
      </w:pPr>
      <w:r>
        <w:rPr>
          <w:noProof/>
        </w:rPr>
        <w:t>HARM 4.</w:t>
      </w:r>
      <w:r w:rsidR="00723C19">
        <w:rPr>
          <w:noProof/>
        </w:rPr>
        <w:t xml:space="preserve"> </w:t>
      </w:r>
      <w:r>
        <w:rPr>
          <w:noProof/>
        </w:rPr>
        <w:t>Market Manipulation</w:t>
      </w:r>
      <w:r>
        <w:rPr>
          <w:noProof/>
        </w:rPr>
        <w:tab/>
      </w:r>
      <w:r>
        <w:rPr>
          <w:noProof/>
        </w:rPr>
        <w:fldChar w:fldCharType="begin"/>
      </w:r>
      <w:r>
        <w:rPr>
          <w:noProof/>
        </w:rPr>
        <w:instrText xml:space="preserve"> PAGEREF _Toc22383917 \h </w:instrText>
      </w:r>
      <w:r>
        <w:rPr>
          <w:noProof/>
        </w:rPr>
      </w:r>
      <w:r>
        <w:rPr>
          <w:noProof/>
        </w:rPr>
        <w:fldChar w:fldCharType="separate"/>
      </w:r>
      <w:r>
        <w:rPr>
          <w:noProof/>
        </w:rPr>
        <w:t>5</w:t>
      </w:r>
      <w:r>
        <w:rPr>
          <w:noProof/>
        </w:rPr>
        <w:fldChar w:fldCharType="end"/>
      </w:r>
    </w:p>
    <w:p w14:paraId="6962BCFE" w14:textId="7DAE4DFF" w:rsidR="004A480E" w:rsidRDefault="004A480E">
      <w:pPr>
        <w:pStyle w:val="TOC3"/>
        <w:rPr>
          <w:rFonts w:asciiTheme="minorHAnsi" w:eastAsiaTheme="minorEastAsia" w:hAnsiTheme="minorHAnsi" w:cstheme="minorBidi"/>
          <w:noProof/>
          <w:sz w:val="22"/>
        </w:rPr>
      </w:pPr>
      <w:r>
        <w:rPr>
          <w:noProof/>
        </w:rPr>
        <w:t>A.</w:t>
      </w:r>
      <w:r w:rsidR="00723C19">
        <w:rPr>
          <w:noProof/>
        </w:rPr>
        <w:t xml:space="preserve"> </w:t>
      </w:r>
      <w:r>
        <w:rPr>
          <w:noProof/>
        </w:rPr>
        <w:t>SPR is used for political purposes</w:t>
      </w:r>
      <w:r>
        <w:rPr>
          <w:noProof/>
        </w:rPr>
        <w:tab/>
      </w:r>
      <w:r>
        <w:rPr>
          <w:noProof/>
        </w:rPr>
        <w:fldChar w:fldCharType="begin"/>
      </w:r>
      <w:r>
        <w:rPr>
          <w:noProof/>
        </w:rPr>
        <w:instrText xml:space="preserve"> PAGEREF _Toc22383918 \h </w:instrText>
      </w:r>
      <w:r>
        <w:rPr>
          <w:noProof/>
        </w:rPr>
      </w:r>
      <w:r>
        <w:rPr>
          <w:noProof/>
        </w:rPr>
        <w:fldChar w:fldCharType="separate"/>
      </w:r>
      <w:r>
        <w:rPr>
          <w:noProof/>
        </w:rPr>
        <w:t>5</w:t>
      </w:r>
      <w:r>
        <w:rPr>
          <w:noProof/>
        </w:rPr>
        <w:fldChar w:fldCharType="end"/>
      </w:r>
    </w:p>
    <w:p w14:paraId="0BF94D1E" w14:textId="6962E011" w:rsidR="004A480E" w:rsidRDefault="004A480E">
      <w:pPr>
        <w:pStyle w:val="TOC3"/>
        <w:rPr>
          <w:rFonts w:asciiTheme="minorHAnsi" w:eastAsiaTheme="minorEastAsia" w:hAnsiTheme="minorHAnsi" w:cstheme="minorBidi"/>
          <w:noProof/>
          <w:sz w:val="22"/>
        </w:rPr>
      </w:pPr>
      <w:r>
        <w:rPr>
          <w:noProof/>
        </w:rPr>
        <w:t>B.</w:t>
      </w:r>
      <w:r w:rsidR="00723C19">
        <w:rPr>
          <w:noProof/>
        </w:rPr>
        <w:t xml:space="preserve"> </w:t>
      </w:r>
      <w:r>
        <w:rPr>
          <w:noProof/>
        </w:rPr>
        <w:t>Impact:</w:t>
      </w:r>
      <w:r w:rsidR="00723C19">
        <w:rPr>
          <w:noProof/>
        </w:rPr>
        <w:t xml:space="preserve"> </w:t>
      </w:r>
      <w:r>
        <w:rPr>
          <w:noProof/>
        </w:rPr>
        <w:t>Makes oil shortages worse long-term.</w:t>
      </w:r>
      <w:r w:rsidR="00723C19">
        <w:rPr>
          <w:noProof/>
        </w:rPr>
        <w:t xml:space="preserve"> </w:t>
      </w:r>
      <w:r>
        <w:rPr>
          <w:noProof/>
        </w:rPr>
        <w:t>It blocks incentives for higher production and lower demand, prolonging shortages</w:t>
      </w:r>
      <w:r>
        <w:rPr>
          <w:noProof/>
        </w:rPr>
        <w:tab/>
      </w:r>
      <w:r>
        <w:rPr>
          <w:noProof/>
        </w:rPr>
        <w:fldChar w:fldCharType="begin"/>
      </w:r>
      <w:r>
        <w:rPr>
          <w:noProof/>
        </w:rPr>
        <w:instrText xml:space="preserve"> PAGEREF _Toc22383919 \h </w:instrText>
      </w:r>
      <w:r>
        <w:rPr>
          <w:noProof/>
        </w:rPr>
      </w:r>
      <w:r>
        <w:rPr>
          <w:noProof/>
        </w:rPr>
        <w:fldChar w:fldCharType="separate"/>
      </w:r>
      <w:r>
        <w:rPr>
          <w:noProof/>
        </w:rPr>
        <w:t>5</w:t>
      </w:r>
      <w:r>
        <w:rPr>
          <w:noProof/>
        </w:rPr>
        <w:fldChar w:fldCharType="end"/>
      </w:r>
    </w:p>
    <w:p w14:paraId="76104080" w14:textId="48A97C33" w:rsidR="004A480E" w:rsidRDefault="004A480E">
      <w:pPr>
        <w:pStyle w:val="TOC2"/>
        <w:rPr>
          <w:rFonts w:asciiTheme="minorHAnsi" w:eastAsiaTheme="minorEastAsia" w:hAnsiTheme="minorHAnsi" w:cstheme="minorBidi"/>
          <w:noProof/>
          <w:sz w:val="22"/>
        </w:rPr>
      </w:pPr>
      <w:r>
        <w:rPr>
          <w:noProof/>
        </w:rPr>
        <w:t>OBSERVATION 3. The PLAN, implemented by Congress, the President, and the Dept of Energy</w:t>
      </w:r>
      <w:r>
        <w:rPr>
          <w:noProof/>
        </w:rPr>
        <w:tab/>
      </w:r>
      <w:r>
        <w:rPr>
          <w:noProof/>
        </w:rPr>
        <w:fldChar w:fldCharType="begin"/>
      </w:r>
      <w:r>
        <w:rPr>
          <w:noProof/>
        </w:rPr>
        <w:instrText xml:space="preserve"> PAGEREF _Toc22383920 \h </w:instrText>
      </w:r>
      <w:r>
        <w:rPr>
          <w:noProof/>
        </w:rPr>
      </w:r>
      <w:r>
        <w:rPr>
          <w:noProof/>
        </w:rPr>
        <w:fldChar w:fldCharType="separate"/>
      </w:r>
      <w:r>
        <w:rPr>
          <w:noProof/>
        </w:rPr>
        <w:t>5</w:t>
      </w:r>
      <w:r>
        <w:rPr>
          <w:noProof/>
        </w:rPr>
        <w:fldChar w:fldCharType="end"/>
      </w:r>
    </w:p>
    <w:p w14:paraId="68876F13" w14:textId="0F45FE2D" w:rsidR="004A480E" w:rsidRDefault="004A480E">
      <w:pPr>
        <w:pStyle w:val="TOC2"/>
        <w:rPr>
          <w:rFonts w:asciiTheme="minorHAnsi" w:eastAsiaTheme="minorEastAsia" w:hAnsiTheme="minorHAnsi" w:cstheme="minorBidi"/>
          <w:noProof/>
          <w:sz w:val="22"/>
        </w:rPr>
      </w:pPr>
      <w:r w:rsidRPr="00480310">
        <w:rPr>
          <w:noProof/>
          <w:color w:val="000000" w:themeColor="text1"/>
        </w:rPr>
        <w:t>OBSERVATION 4. SOLVENCY</w:t>
      </w:r>
      <w:r>
        <w:rPr>
          <w:noProof/>
        </w:rPr>
        <w:tab/>
      </w:r>
      <w:r>
        <w:rPr>
          <w:noProof/>
        </w:rPr>
        <w:fldChar w:fldCharType="begin"/>
      </w:r>
      <w:r>
        <w:rPr>
          <w:noProof/>
        </w:rPr>
        <w:instrText xml:space="preserve"> PAGEREF _Toc22383921 \h </w:instrText>
      </w:r>
      <w:r>
        <w:rPr>
          <w:noProof/>
        </w:rPr>
      </w:r>
      <w:r>
        <w:rPr>
          <w:noProof/>
        </w:rPr>
        <w:fldChar w:fldCharType="separate"/>
      </w:r>
      <w:r>
        <w:rPr>
          <w:noProof/>
        </w:rPr>
        <w:t>6</w:t>
      </w:r>
      <w:r>
        <w:rPr>
          <w:noProof/>
        </w:rPr>
        <w:fldChar w:fldCharType="end"/>
      </w:r>
    </w:p>
    <w:p w14:paraId="2EBD206B" w14:textId="5EC600EC" w:rsidR="004A480E" w:rsidRDefault="004A480E">
      <w:pPr>
        <w:pStyle w:val="TOC3"/>
        <w:rPr>
          <w:rFonts w:asciiTheme="minorHAnsi" w:eastAsiaTheme="minorEastAsia" w:hAnsiTheme="minorHAnsi" w:cstheme="minorBidi"/>
          <w:noProof/>
          <w:sz w:val="22"/>
        </w:rPr>
      </w:pPr>
      <w:r>
        <w:rPr>
          <w:noProof/>
        </w:rPr>
        <w:t>Harms of the SPR exceed its benefits, and we’d be better off without it, and just let markets solve for oil shocks</w:t>
      </w:r>
      <w:r>
        <w:rPr>
          <w:noProof/>
        </w:rPr>
        <w:tab/>
      </w:r>
      <w:r>
        <w:rPr>
          <w:noProof/>
        </w:rPr>
        <w:fldChar w:fldCharType="begin"/>
      </w:r>
      <w:r>
        <w:rPr>
          <w:noProof/>
        </w:rPr>
        <w:instrText xml:space="preserve"> PAGEREF _Toc22383922 \h </w:instrText>
      </w:r>
      <w:r>
        <w:rPr>
          <w:noProof/>
        </w:rPr>
      </w:r>
      <w:r>
        <w:rPr>
          <w:noProof/>
        </w:rPr>
        <w:fldChar w:fldCharType="separate"/>
      </w:r>
      <w:r>
        <w:rPr>
          <w:noProof/>
        </w:rPr>
        <w:t>6</w:t>
      </w:r>
      <w:r>
        <w:rPr>
          <w:noProof/>
        </w:rPr>
        <w:fldChar w:fldCharType="end"/>
      </w:r>
    </w:p>
    <w:p w14:paraId="28916DA8" w14:textId="124E0396" w:rsidR="004A480E" w:rsidRDefault="004A480E">
      <w:pPr>
        <w:pStyle w:val="TOC1"/>
        <w:rPr>
          <w:rFonts w:asciiTheme="minorHAnsi" w:eastAsiaTheme="minorEastAsia" w:hAnsiTheme="minorHAnsi" w:cstheme="minorBidi"/>
          <w:b w:val="0"/>
          <w:noProof/>
        </w:rPr>
      </w:pPr>
      <w:r>
        <w:rPr>
          <w:noProof/>
        </w:rPr>
        <w:t>2A Evidence: Abolish the Strategic Petroleum Reserve</w:t>
      </w:r>
      <w:r>
        <w:rPr>
          <w:noProof/>
        </w:rPr>
        <w:tab/>
      </w:r>
      <w:r>
        <w:rPr>
          <w:noProof/>
        </w:rPr>
        <w:fldChar w:fldCharType="begin"/>
      </w:r>
      <w:r>
        <w:rPr>
          <w:noProof/>
        </w:rPr>
        <w:instrText xml:space="preserve"> PAGEREF _Toc22383923 \h </w:instrText>
      </w:r>
      <w:r>
        <w:rPr>
          <w:noProof/>
        </w:rPr>
      </w:r>
      <w:r>
        <w:rPr>
          <w:noProof/>
        </w:rPr>
        <w:fldChar w:fldCharType="separate"/>
      </w:r>
      <w:r>
        <w:rPr>
          <w:noProof/>
        </w:rPr>
        <w:t>7</w:t>
      </w:r>
      <w:r>
        <w:rPr>
          <w:noProof/>
        </w:rPr>
        <w:fldChar w:fldCharType="end"/>
      </w:r>
    </w:p>
    <w:p w14:paraId="6E289621" w14:textId="72843324" w:rsidR="004A480E" w:rsidRDefault="004A480E">
      <w:pPr>
        <w:pStyle w:val="TOC2"/>
        <w:rPr>
          <w:rFonts w:asciiTheme="minorHAnsi" w:eastAsiaTheme="minorEastAsia" w:hAnsiTheme="minorHAnsi" w:cstheme="minorBidi"/>
          <w:noProof/>
          <w:sz w:val="22"/>
        </w:rPr>
      </w:pPr>
      <w:r>
        <w:rPr>
          <w:noProof/>
        </w:rPr>
        <w:t>DEFINITIONS</w:t>
      </w:r>
      <w:r>
        <w:rPr>
          <w:noProof/>
        </w:rPr>
        <w:tab/>
      </w:r>
      <w:r>
        <w:rPr>
          <w:noProof/>
        </w:rPr>
        <w:fldChar w:fldCharType="begin"/>
      </w:r>
      <w:r>
        <w:rPr>
          <w:noProof/>
        </w:rPr>
        <w:instrText xml:space="preserve"> PAGEREF _Toc22383924 \h </w:instrText>
      </w:r>
      <w:r>
        <w:rPr>
          <w:noProof/>
        </w:rPr>
      </w:r>
      <w:r>
        <w:rPr>
          <w:noProof/>
        </w:rPr>
        <w:fldChar w:fldCharType="separate"/>
      </w:r>
      <w:r>
        <w:rPr>
          <w:noProof/>
        </w:rPr>
        <w:t>7</w:t>
      </w:r>
      <w:r>
        <w:rPr>
          <w:noProof/>
        </w:rPr>
        <w:fldChar w:fldCharType="end"/>
      </w:r>
    </w:p>
    <w:p w14:paraId="2614507F" w14:textId="73E239F2" w:rsidR="004A480E" w:rsidRDefault="004A480E">
      <w:pPr>
        <w:pStyle w:val="TOC3"/>
        <w:rPr>
          <w:rFonts w:asciiTheme="minorHAnsi" w:eastAsiaTheme="minorEastAsia" w:hAnsiTheme="minorHAnsi" w:cstheme="minorBidi"/>
          <w:noProof/>
          <w:sz w:val="22"/>
        </w:rPr>
      </w:pPr>
      <w:r>
        <w:rPr>
          <w:noProof/>
        </w:rPr>
        <w:t>SPR is “energy policy”</w:t>
      </w:r>
      <w:r>
        <w:rPr>
          <w:noProof/>
        </w:rPr>
        <w:tab/>
      </w:r>
      <w:r>
        <w:rPr>
          <w:noProof/>
        </w:rPr>
        <w:fldChar w:fldCharType="begin"/>
      </w:r>
      <w:r>
        <w:rPr>
          <w:noProof/>
        </w:rPr>
        <w:instrText xml:space="preserve"> PAGEREF _Toc22383925 \h </w:instrText>
      </w:r>
      <w:r>
        <w:rPr>
          <w:noProof/>
        </w:rPr>
      </w:r>
      <w:r>
        <w:rPr>
          <w:noProof/>
        </w:rPr>
        <w:fldChar w:fldCharType="separate"/>
      </w:r>
      <w:r>
        <w:rPr>
          <w:noProof/>
        </w:rPr>
        <w:t>7</w:t>
      </w:r>
      <w:r>
        <w:rPr>
          <w:noProof/>
        </w:rPr>
        <w:fldChar w:fldCharType="end"/>
      </w:r>
    </w:p>
    <w:p w14:paraId="7460F02D" w14:textId="781811B4" w:rsidR="004A480E" w:rsidRDefault="004A480E">
      <w:pPr>
        <w:pStyle w:val="TOC3"/>
        <w:rPr>
          <w:rFonts w:asciiTheme="minorHAnsi" w:eastAsiaTheme="minorEastAsia" w:hAnsiTheme="minorHAnsi" w:cstheme="minorBidi"/>
          <w:noProof/>
          <w:sz w:val="22"/>
        </w:rPr>
      </w:pPr>
      <w:r>
        <w:rPr>
          <w:noProof/>
        </w:rPr>
        <w:t>Details about the SPR</w:t>
      </w:r>
      <w:r>
        <w:rPr>
          <w:noProof/>
        </w:rPr>
        <w:tab/>
      </w:r>
      <w:r>
        <w:rPr>
          <w:noProof/>
        </w:rPr>
        <w:fldChar w:fldCharType="begin"/>
      </w:r>
      <w:r>
        <w:rPr>
          <w:noProof/>
        </w:rPr>
        <w:instrText xml:space="preserve"> PAGEREF _Toc22383926 \h </w:instrText>
      </w:r>
      <w:r>
        <w:rPr>
          <w:noProof/>
        </w:rPr>
      </w:r>
      <w:r>
        <w:rPr>
          <w:noProof/>
        </w:rPr>
        <w:fldChar w:fldCharType="separate"/>
      </w:r>
      <w:r>
        <w:rPr>
          <w:noProof/>
        </w:rPr>
        <w:t>7</w:t>
      </w:r>
      <w:r>
        <w:rPr>
          <w:noProof/>
        </w:rPr>
        <w:fldChar w:fldCharType="end"/>
      </w:r>
    </w:p>
    <w:p w14:paraId="45EAD899" w14:textId="2CA39514" w:rsidR="004A480E" w:rsidRDefault="004A480E">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_Toc22383927 \h </w:instrText>
      </w:r>
      <w:r>
        <w:rPr>
          <w:noProof/>
        </w:rPr>
      </w:r>
      <w:r>
        <w:rPr>
          <w:noProof/>
        </w:rPr>
        <w:fldChar w:fldCharType="separate"/>
      </w:r>
      <w:r>
        <w:rPr>
          <w:noProof/>
        </w:rPr>
        <w:t>7</w:t>
      </w:r>
      <w:r>
        <w:rPr>
          <w:noProof/>
        </w:rPr>
        <w:fldChar w:fldCharType="end"/>
      </w:r>
    </w:p>
    <w:p w14:paraId="5D842EEF" w14:textId="3DF08508" w:rsidR="004A480E" w:rsidRDefault="004A480E">
      <w:pPr>
        <w:pStyle w:val="TOC3"/>
        <w:rPr>
          <w:rFonts w:asciiTheme="minorHAnsi" w:eastAsiaTheme="minorEastAsia" w:hAnsiTheme="minorHAnsi" w:cstheme="minorBidi"/>
          <w:noProof/>
          <w:sz w:val="22"/>
        </w:rPr>
      </w:pPr>
      <w:r>
        <w:rPr>
          <w:noProof/>
        </w:rPr>
        <w:t>Congress mandated a minimum amount of oil in the reserves</w:t>
      </w:r>
      <w:r>
        <w:rPr>
          <w:noProof/>
        </w:rPr>
        <w:tab/>
      </w:r>
      <w:r>
        <w:rPr>
          <w:noProof/>
        </w:rPr>
        <w:fldChar w:fldCharType="begin"/>
      </w:r>
      <w:r>
        <w:rPr>
          <w:noProof/>
        </w:rPr>
        <w:instrText xml:space="preserve"> PAGEREF _Toc22383928 \h </w:instrText>
      </w:r>
      <w:r>
        <w:rPr>
          <w:noProof/>
        </w:rPr>
      </w:r>
      <w:r>
        <w:rPr>
          <w:noProof/>
        </w:rPr>
        <w:fldChar w:fldCharType="separate"/>
      </w:r>
      <w:r>
        <w:rPr>
          <w:noProof/>
        </w:rPr>
        <w:t>7</w:t>
      </w:r>
      <w:r>
        <w:rPr>
          <w:noProof/>
        </w:rPr>
        <w:fldChar w:fldCharType="end"/>
      </w:r>
    </w:p>
    <w:p w14:paraId="3309805C" w14:textId="2A67B7A3" w:rsidR="004A480E" w:rsidRDefault="004A480E">
      <w:pPr>
        <w:pStyle w:val="TOC2"/>
        <w:rPr>
          <w:rFonts w:asciiTheme="minorHAnsi" w:eastAsiaTheme="minorEastAsia" w:hAnsiTheme="minorHAnsi" w:cstheme="minorBidi"/>
          <w:noProof/>
          <w:sz w:val="22"/>
        </w:rPr>
      </w:pPr>
      <w:r>
        <w:rPr>
          <w:noProof/>
        </w:rPr>
        <w:lastRenderedPageBreak/>
        <w:t>HARMS</w:t>
      </w:r>
      <w:r>
        <w:rPr>
          <w:noProof/>
        </w:rPr>
        <w:tab/>
      </w:r>
      <w:r>
        <w:rPr>
          <w:noProof/>
        </w:rPr>
        <w:fldChar w:fldCharType="begin"/>
      </w:r>
      <w:r>
        <w:rPr>
          <w:noProof/>
        </w:rPr>
        <w:instrText xml:space="preserve"> PAGEREF _Toc22383929 \h </w:instrText>
      </w:r>
      <w:r>
        <w:rPr>
          <w:noProof/>
        </w:rPr>
      </w:r>
      <w:r>
        <w:rPr>
          <w:noProof/>
        </w:rPr>
        <w:fldChar w:fldCharType="separate"/>
      </w:r>
      <w:r>
        <w:rPr>
          <w:noProof/>
        </w:rPr>
        <w:t>8</w:t>
      </w:r>
      <w:r>
        <w:rPr>
          <w:noProof/>
        </w:rPr>
        <w:fldChar w:fldCharType="end"/>
      </w:r>
    </w:p>
    <w:p w14:paraId="0E8E14BA" w14:textId="117DE2CE" w:rsidR="004A480E" w:rsidRDefault="004A480E">
      <w:pPr>
        <w:pStyle w:val="TOC2"/>
        <w:rPr>
          <w:rFonts w:asciiTheme="minorHAnsi" w:eastAsiaTheme="minorEastAsia" w:hAnsiTheme="minorHAnsi" w:cstheme="minorBidi"/>
          <w:noProof/>
          <w:sz w:val="22"/>
        </w:rPr>
      </w:pPr>
      <w:r>
        <w:rPr>
          <w:noProof/>
        </w:rPr>
        <w:t>Poisonous gas – Hydrogen Sulfide</w:t>
      </w:r>
      <w:r>
        <w:rPr>
          <w:noProof/>
        </w:rPr>
        <w:tab/>
      </w:r>
      <w:r>
        <w:rPr>
          <w:noProof/>
        </w:rPr>
        <w:fldChar w:fldCharType="begin"/>
      </w:r>
      <w:r>
        <w:rPr>
          <w:noProof/>
        </w:rPr>
        <w:instrText xml:space="preserve"> PAGEREF _Toc22383930 \h </w:instrText>
      </w:r>
      <w:r>
        <w:rPr>
          <w:noProof/>
        </w:rPr>
      </w:r>
      <w:r>
        <w:rPr>
          <w:noProof/>
        </w:rPr>
        <w:fldChar w:fldCharType="separate"/>
      </w:r>
      <w:r>
        <w:rPr>
          <w:noProof/>
        </w:rPr>
        <w:t>8</w:t>
      </w:r>
      <w:r>
        <w:rPr>
          <w:noProof/>
        </w:rPr>
        <w:fldChar w:fldCharType="end"/>
      </w:r>
    </w:p>
    <w:p w14:paraId="7BBDEC19" w14:textId="6C6FC152" w:rsidR="004A480E" w:rsidRDefault="004A480E">
      <w:pPr>
        <w:pStyle w:val="TOC3"/>
        <w:rPr>
          <w:rFonts w:asciiTheme="minorHAnsi" w:eastAsiaTheme="minorEastAsia" w:hAnsiTheme="minorHAnsi" w:cstheme="minorBidi"/>
          <w:noProof/>
          <w:sz w:val="22"/>
        </w:rPr>
      </w:pPr>
      <w:r>
        <w:rPr>
          <w:noProof/>
        </w:rPr>
        <w:t>Multiple sources: Many companies have reported high levels of hydrogen sulfide in oil from the SPR</w:t>
      </w:r>
      <w:r>
        <w:rPr>
          <w:noProof/>
        </w:rPr>
        <w:tab/>
      </w:r>
      <w:r>
        <w:rPr>
          <w:noProof/>
        </w:rPr>
        <w:fldChar w:fldCharType="begin"/>
      </w:r>
      <w:r>
        <w:rPr>
          <w:noProof/>
        </w:rPr>
        <w:instrText xml:space="preserve"> PAGEREF _Toc22383931 \h </w:instrText>
      </w:r>
      <w:r>
        <w:rPr>
          <w:noProof/>
        </w:rPr>
      </w:r>
      <w:r>
        <w:rPr>
          <w:noProof/>
        </w:rPr>
        <w:fldChar w:fldCharType="separate"/>
      </w:r>
      <w:r>
        <w:rPr>
          <w:noProof/>
        </w:rPr>
        <w:t>8</w:t>
      </w:r>
      <w:r>
        <w:rPr>
          <w:noProof/>
        </w:rPr>
        <w:fldChar w:fldCharType="end"/>
      </w:r>
    </w:p>
    <w:p w14:paraId="401774B1" w14:textId="3C53BB51" w:rsidR="004A480E" w:rsidRDefault="004A480E">
      <w:pPr>
        <w:pStyle w:val="TOC3"/>
        <w:rPr>
          <w:rFonts w:asciiTheme="minorHAnsi" w:eastAsiaTheme="minorEastAsia" w:hAnsiTheme="minorHAnsi" w:cstheme="minorBidi"/>
          <w:noProof/>
          <w:sz w:val="22"/>
        </w:rPr>
      </w:pPr>
      <w:r>
        <w:rPr>
          <w:noProof/>
        </w:rPr>
        <w:t>A/T “Other oil could be just as dangerous” Oil that is not from the SPR is rarely contaminated</w:t>
      </w:r>
      <w:r>
        <w:rPr>
          <w:noProof/>
        </w:rPr>
        <w:tab/>
      </w:r>
      <w:r>
        <w:rPr>
          <w:noProof/>
        </w:rPr>
        <w:fldChar w:fldCharType="begin"/>
      </w:r>
      <w:r>
        <w:rPr>
          <w:noProof/>
        </w:rPr>
        <w:instrText xml:space="preserve"> PAGEREF _Toc22383932 \h </w:instrText>
      </w:r>
      <w:r>
        <w:rPr>
          <w:noProof/>
        </w:rPr>
      </w:r>
      <w:r>
        <w:rPr>
          <w:noProof/>
        </w:rPr>
        <w:fldChar w:fldCharType="separate"/>
      </w:r>
      <w:r>
        <w:rPr>
          <w:noProof/>
        </w:rPr>
        <w:t>8</w:t>
      </w:r>
      <w:r>
        <w:rPr>
          <w:noProof/>
        </w:rPr>
        <w:fldChar w:fldCharType="end"/>
      </w:r>
    </w:p>
    <w:p w14:paraId="5EE47CA5" w14:textId="3F191D2B" w:rsidR="004A480E" w:rsidRDefault="004A480E">
      <w:pPr>
        <w:pStyle w:val="TOC3"/>
        <w:rPr>
          <w:rFonts w:asciiTheme="minorHAnsi" w:eastAsiaTheme="minorEastAsia" w:hAnsiTheme="minorHAnsi" w:cstheme="minorBidi"/>
          <w:noProof/>
          <w:sz w:val="22"/>
        </w:rPr>
      </w:pPr>
      <w:r>
        <w:rPr>
          <w:noProof/>
        </w:rPr>
        <w:t>The hydrogen sulfide may be a result of storing the petroleum in the salt caverns which would be a permanent problem</w:t>
      </w:r>
      <w:r>
        <w:rPr>
          <w:noProof/>
        </w:rPr>
        <w:tab/>
      </w:r>
      <w:r>
        <w:rPr>
          <w:noProof/>
        </w:rPr>
        <w:fldChar w:fldCharType="begin"/>
      </w:r>
      <w:r>
        <w:rPr>
          <w:noProof/>
        </w:rPr>
        <w:instrText xml:space="preserve"> PAGEREF _Toc22383933 \h </w:instrText>
      </w:r>
      <w:r>
        <w:rPr>
          <w:noProof/>
        </w:rPr>
      </w:r>
      <w:r>
        <w:rPr>
          <w:noProof/>
        </w:rPr>
        <w:fldChar w:fldCharType="separate"/>
      </w:r>
      <w:r>
        <w:rPr>
          <w:noProof/>
        </w:rPr>
        <w:t>8</w:t>
      </w:r>
      <w:r>
        <w:rPr>
          <w:noProof/>
        </w:rPr>
        <w:fldChar w:fldCharType="end"/>
      </w:r>
    </w:p>
    <w:p w14:paraId="7E8EB7AE" w14:textId="65ABC8C3" w:rsidR="004A480E" w:rsidRDefault="004A480E">
      <w:pPr>
        <w:pStyle w:val="TOC3"/>
        <w:rPr>
          <w:rFonts w:asciiTheme="minorHAnsi" w:eastAsiaTheme="minorEastAsia" w:hAnsiTheme="minorHAnsi" w:cstheme="minorBidi"/>
          <w:noProof/>
          <w:sz w:val="22"/>
        </w:rPr>
      </w:pPr>
      <w:r>
        <w:rPr>
          <w:noProof/>
        </w:rPr>
        <w:t>Impact: Lost lives</w:t>
      </w:r>
      <w:r w:rsidR="00723C19">
        <w:rPr>
          <w:noProof/>
        </w:rPr>
        <w:t xml:space="preserve"> </w:t>
      </w:r>
      <w:r>
        <w:rPr>
          <w:noProof/>
        </w:rPr>
        <w:t>- 500 ppm can kill people; the SPR has 5,000 ppm</w:t>
      </w:r>
      <w:r>
        <w:rPr>
          <w:noProof/>
        </w:rPr>
        <w:tab/>
      </w:r>
      <w:r>
        <w:rPr>
          <w:noProof/>
        </w:rPr>
        <w:fldChar w:fldCharType="begin"/>
      </w:r>
      <w:r>
        <w:rPr>
          <w:noProof/>
        </w:rPr>
        <w:instrText xml:space="preserve"> PAGEREF _Toc22383934 \h </w:instrText>
      </w:r>
      <w:r>
        <w:rPr>
          <w:noProof/>
        </w:rPr>
      </w:r>
      <w:r>
        <w:rPr>
          <w:noProof/>
        </w:rPr>
        <w:fldChar w:fldCharType="separate"/>
      </w:r>
      <w:r>
        <w:rPr>
          <w:noProof/>
        </w:rPr>
        <w:t>8</w:t>
      </w:r>
      <w:r>
        <w:rPr>
          <w:noProof/>
        </w:rPr>
        <w:fldChar w:fldCharType="end"/>
      </w:r>
    </w:p>
    <w:p w14:paraId="44298413" w14:textId="539651CB" w:rsidR="004A480E" w:rsidRDefault="004A480E">
      <w:pPr>
        <w:pStyle w:val="TOC3"/>
        <w:rPr>
          <w:rFonts w:asciiTheme="minorHAnsi" w:eastAsiaTheme="minorEastAsia" w:hAnsiTheme="minorHAnsi" w:cstheme="minorBidi"/>
          <w:noProof/>
          <w:sz w:val="22"/>
        </w:rPr>
      </w:pPr>
      <w:r>
        <w:rPr>
          <w:noProof/>
        </w:rPr>
        <w:t>Hydrogen Sulfide can be harmful even at low concentrations</w:t>
      </w:r>
      <w:r>
        <w:rPr>
          <w:noProof/>
        </w:rPr>
        <w:tab/>
      </w:r>
      <w:r>
        <w:rPr>
          <w:noProof/>
        </w:rPr>
        <w:fldChar w:fldCharType="begin"/>
      </w:r>
      <w:r>
        <w:rPr>
          <w:noProof/>
        </w:rPr>
        <w:instrText xml:space="preserve"> PAGEREF _Toc22383935 \h </w:instrText>
      </w:r>
      <w:r>
        <w:rPr>
          <w:noProof/>
        </w:rPr>
      </w:r>
      <w:r>
        <w:rPr>
          <w:noProof/>
        </w:rPr>
        <w:fldChar w:fldCharType="separate"/>
      </w:r>
      <w:r>
        <w:rPr>
          <w:noProof/>
        </w:rPr>
        <w:t>9</w:t>
      </w:r>
      <w:r>
        <w:rPr>
          <w:noProof/>
        </w:rPr>
        <w:fldChar w:fldCharType="end"/>
      </w:r>
    </w:p>
    <w:p w14:paraId="07BC9C1B" w14:textId="0AE59D5D" w:rsidR="004A480E" w:rsidRDefault="004A480E">
      <w:pPr>
        <w:pStyle w:val="TOC3"/>
        <w:rPr>
          <w:rFonts w:asciiTheme="minorHAnsi" w:eastAsiaTheme="minorEastAsia" w:hAnsiTheme="minorHAnsi" w:cstheme="minorBidi"/>
          <w:noProof/>
          <w:sz w:val="22"/>
        </w:rPr>
      </w:pPr>
      <w:r>
        <w:rPr>
          <w:noProof/>
        </w:rPr>
        <w:t>Impact: reduced cost effectiveness, companies are reluctant to pay high prices for potentially tainted oil</w:t>
      </w:r>
      <w:r>
        <w:rPr>
          <w:noProof/>
        </w:rPr>
        <w:tab/>
      </w:r>
      <w:r>
        <w:rPr>
          <w:noProof/>
        </w:rPr>
        <w:fldChar w:fldCharType="begin"/>
      </w:r>
      <w:r>
        <w:rPr>
          <w:noProof/>
        </w:rPr>
        <w:instrText xml:space="preserve"> PAGEREF _Toc22383936 \h </w:instrText>
      </w:r>
      <w:r>
        <w:rPr>
          <w:noProof/>
        </w:rPr>
      </w:r>
      <w:r>
        <w:rPr>
          <w:noProof/>
        </w:rPr>
        <w:fldChar w:fldCharType="separate"/>
      </w:r>
      <w:r>
        <w:rPr>
          <w:noProof/>
        </w:rPr>
        <w:t>9</w:t>
      </w:r>
      <w:r>
        <w:rPr>
          <w:noProof/>
        </w:rPr>
        <w:fldChar w:fldCharType="end"/>
      </w:r>
    </w:p>
    <w:p w14:paraId="69BD6B0F" w14:textId="2799F0BA" w:rsidR="004A480E" w:rsidRDefault="004A480E">
      <w:pPr>
        <w:pStyle w:val="TOC2"/>
        <w:rPr>
          <w:rFonts w:asciiTheme="minorHAnsi" w:eastAsiaTheme="minorEastAsia" w:hAnsiTheme="minorHAnsi" w:cstheme="minorBidi"/>
          <w:noProof/>
          <w:sz w:val="22"/>
        </w:rPr>
      </w:pPr>
      <w:r>
        <w:rPr>
          <w:noProof/>
        </w:rPr>
        <w:t>Prevents effective free market response</w:t>
      </w:r>
      <w:r>
        <w:rPr>
          <w:noProof/>
        </w:rPr>
        <w:tab/>
      </w:r>
      <w:r>
        <w:rPr>
          <w:noProof/>
        </w:rPr>
        <w:fldChar w:fldCharType="begin"/>
      </w:r>
      <w:r>
        <w:rPr>
          <w:noProof/>
        </w:rPr>
        <w:instrText xml:space="preserve"> PAGEREF _Toc22383937 \h </w:instrText>
      </w:r>
      <w:r>
        <w:rPr>
          <w:noProof/>
        </w:rPr>
      </w:r>
      <w:r>
        <w:rPr>
          <w:noProof/>
        </w:rPr>
        <w:fldChar w:fldCharType="separate"/>
      </w:r>
      <w:r>
        <w:rPr>
          <w:noProof/>
        </w:rPr>
        <w:t>9</w:t>
      </w:r>
      <w:r>
        <w:rPr>
          <w:noProof/>
        </w:rPr>
        <w:fldChar w:fldCharType="end"/>
      </w:r>
    </w:p>
    <w:p w14:paraId="22C10195" w14:textId="03B35D84" w:rsidR="004A480E" w:rsidRDefault="004A480E">
      <w:pPr>
        <w:pStyle w:val="TOC3"/>
        <w:rPr>
          <w:rFonts w:asciiTheme="minorHAnsi" w:eastAsiaTheme="minorEastAsia" w:hAnsiTheme="minorHAnsi" w:cstheme="minorBidi"/>
          <w:noProof/>
          <w:sz w:val="22"/>
        </w:rPr>
      </w:pPr>
      <w:r>
        <w:rPr>
          <w:noProof/>
        </w:rPr>
        <w:t>The SPR harms the private reserves ability to respond to supply disruptions</w:t>
      </w:r>
      <w:r>
        <w:rPr>
          <w:noProof/>
        </w:rPr>
        <w:tab/>
      </w:r>
      <w:r>
        <w:rPr>
          <w:noProof/>
        </w:rPr>
        <w:fldChar w:fldCharType="begin"/>
      </w:r>
      <w:r>
        <w:rPr>
          <w:noProof/>
        </w:rPr>
        <w:instrText xml:space="preserve"> PAGEREF _Toc22383938 \h </w:instrText>
      </w:r>
      <w:r>
        <w:rPr>
          <w:noProof/>
        </w:rPr>
      </w:r>
      <w:r>
        <w:rPr>
          <w:noProof/>
        </w:rPr>
        <w:fldChar w:fldCharType="separate"/>
      </w:r>
      <w:r>
        <w:rPr>
          <w:noProof/>
        </w:rPr>
        <w:t>9</w:t>
      </w:r>
      <w:r>
        <w:rPr>
          <w:noProof/>
        </w:rPr>
        <w:fldChar w:fldCharType="end"/>
      </w:r>
    </w:p>
    <w:p w14:paraId="61667084" w14:textId="50881934" w:rsidR="004A480E" w:rsidRDefault="004A480E">
      <w:pPr>
        <w:pStyle w:val="TOC3"/>
        <w:rPr>
          <w:rFonts w:asciiTheme="minorHAnsi" w:eastAsiaTheme="minorEastAsia" w:hAnsiTheme="minorHAnsi" w:cstheme="minorBidi"/>
          <w:noProof/>
          <w:sz w:val="22"/>
        </w:rPr>
      </w:pPr>
      <w:r>
        <w:rPr>
          <w:noProof/>
        </w:rPr>
        <w:t>Government intervention tends to make economic problems worse</w:t>
      </w:r>
      <w:r>
        <w:rPr>
          <w:noProof/>
        </w:rPr>
        <w:tab/>
      </w:r>
      <w:r>
        <w:rPr>
          <w:noProof/>
        </w:rPr>
        <w:fldChar w:fldCharType="begin"/>
      </w:r>
      <w:r>
        <w:rPr>
          <w:noProof/>
        </w:rPr>
        <w:instrText xml:space="preserve"> PAGEREF _Toc22383939 \h </w:instrText>
      </w:r>
      <w:r>
        <w:rPr>
          <w:noProof/>
        </w:rPr>
      </w:r>
      <w:r>
        <w:rPr>
          <w:noProof/>
        </w:rPr>
        <w:fldChar w:fldCharType="separate"/>
      </w:r>
      <w:r>
        <w:rPr>
          <w:noProof/>
        </w:rPr>
        <w:t>9</w:t>
      </w:r>
      <w:r>
        <w:rPr>
          <w:noProof/>
        </w:rPr>
        <w:fldChar w:fldCharType="end"/>
      </w:r>
    </w:p>
    <w:p w14:paraId="31F76B6B" w14:textId="34DF5864" w:rsidR="004A480E" w:rsidRDefault="004A480E">
      <w:pPr>
        <w:pStyle w:val="TOC2"/>
        <w:rPr>
          <w:rFonts w:asciiTheme="minorHAnsi" w:eastAsiaTheme="minorEastAsia" w:hAnsiTheme="minorHAnsi" w:cstheme="minorBidi"/>
          <w:noProof/>
          <w:sz w:val="22"/>
        </w:rPr>
      </w:pPr>
      <w:r>
        <w:rPr>
          <w:noProof/>
        </w:rPr>
        <w:t>Cost to taxpayers</w:t>
      </w:r>
      <w:r>
        <w:rPr>
          <w:noProof/>
        </w:rPr>
        <w:tab/>
      </w:r>
      <w:r>
        <w:rPr>
          <w:noProof/>
        </w:rPr>
        <w:fldChar w:fldCharType="begin"/>
      </w:r>
      <w:r>
        <w:rPr>
          <w:noProof/>
        </w:rPr>
        <w:instrText xml:space="preserve"> PAGEREF _Toc22383940 \h </w:instrText>
      </w:r>
      <w:r>
        <w:rPr>
          <w:noProof/>
        </w:rPr>
      </w:r>
      <w:r>
        <w:rPr>
          <w:noProof/>
        </w:rPr>
        <w:fldChar w:fldCharType="separate"/>
      </w:r>
      <w:r>
        <w:rPr>
          <w:noProof/>
        </w:rPr>
        <w:t>10</w:t>
      </w:r>
      <w:r>
        <w:rPr>
          <w:noProof/>
        </w:rPr>
        <w:fldChar w:fldCharType="end"/>
      </w:r>
    </w:p>
    <w:p w14:paraId="7BE0BE2F" w14:textId="1112D21B" w:rsidR="004A480E" w:rsidRDefault="004A480E">
      <w:pPr>
        <w:pStyle w:val="TOC3"/>
        <w:rPr>
          <w:rFonts w:asciiTheme="minorHAnsi" w:eastAsiaTheme="minorEastAsia" w:hAnsiTheme="minorHAnsi" w:cstheme="minorBidi"/>
          <w:noProof/>
          <w:sz w:val="22"/>
        </w:rPr>
      </w:pPr>
      <w:r>
        <w:rPr>
          <w:noProof/>
        </w:rPr>
        <w:t>$375 million are needed for upgrades</w:t>
      </w:r>
      <w:r>
        <w:rPr>
          <w:noProof/>
        </w:rPr>
        <w:tab/>
      </w:r>
      <w:r>
        <w:rPr>
          <w:noProof/>
        </w:rPr>
        <w:fldChar w:fldCharType="begin"/>
      </w:r>
      <w:r>
        <w:rPr>
          <w:noProof/>
        </w:rPr>
        <w:instrText xml:space="preserve"> PAGEREF _Toc22383941 \h </w:instrText>
      </w:r>
      <w:r>
        <w:rPr>
          <w:noProof/>
        </w:rPr>
      </w:r>
      <w:r>
        <w:rPr>
          <w:noProof/>
        </w:rPr>
        <w:fldChar w:fldCharType="separate"/>
      </w:r>
      <w:r>
        <w:rPr>
          <w:noProof/>
        </w:rPr>
        <w:t>10</w:t>
      </w:r>
      <w:r>
        <w:rPr>
          <w:noProof/>
        </w:rPr>
        <w:fldChar w:fldCharType="end"/>
      </w:r>
    </w:p>
    <w:p w14:paraId="77ED1ADD" w14:textId="156D56EE" w:rsidR="004A480E" w:rsidRDefault="004A480E">
      <w:pPr>
        <w:pStyle w:val="TOC3"/>
        <w:rPr>
          <w:rFonts w:asciiTheme="minorHAnsi" w:eastAsiaTheme="minorEastAsia" w:hAnsiTheme="minorHAnsi" w:cstheme="minorBidi"/>
          <w:noProof/>
          <w:sz w:val="22"/>
        </w:rPr>
      </w:pPr>
      <w:r>
        <w:rPr>
          <w:noProof/>
        </w:rPr>
        <w:t>$27.5 billion spent so far, and $250 million/year in ongoing costs</w:t>
      </w:r>
      <w:r>
        <w:rPr>
          <w:noProof/>
        </w:rPr>
        <w:tab/>
      </w:r>
      <w:r>
        <w:rPr>
          <w:noProof/>
        </w:rPr>
        <w:fldChar w:fldCharType="begin"/>
      </w:r>
      <w:r>
        <w:rPr>
          <w:noProof/>
        </w:rPr>
        <w:instrText xml:space="preserve"> PAGEREF _Toc22383942 \h </w:instrText>
      </w:r>
      <w:r>
        <w:rPr>
          <w:noProof/>
        </w:rPr>
      </w:r>
      <w:r>
        <w:rPr>
          <w:noProof/>
        </w:rPr>
        <w:fldChar w:fldCharType="separate"/>
      </w:r>
      <w:r>
        <w:rPr>
          <w:noProof/>
        </w:rPr>
        <w:t>10</w:t>
      </w:r>
      <w:r>
        <w:rPr>
          <w:noProof/>
        </w:rPr>
        <w:fldChar w:fldCharType="end"/>
      </w:r>
    </w:p>
    <w:p w14:paraId="5E2C91FC" w14:textId="759014F2" w:rsidR="004A480E" w:rsidRDefault="004A480E">
      <w:pPr>
        <w:pStyle w:val="TOC2"/>
        <w:rPr>
          <w:rFonts w:asciiTheme="minorHAnsi" w:eastAsiaTheme="minorEastAsia" w:hAnsiTheme="minorHAnsi" w:cstheme="minorBidi"/>
          <w:noProof/>
          <w:sz w:val="22"/>
        </w:rPr>
      </w:pPr>
      <w:r>
        <w:rPr>
          <w:noProof/>
        </w:rPr>
        <w:t>Political Purposes / Market Manipulation</w:t>
      </w:r>
      <w:r>
        <w:rPr>
          <w:noProof/>
        </w:rPr>
        <w:tab/>
      </w:r>
      <w:r>
        <w:rPr>
          <w:noProof/>
        </w:rPr>
        <w:fldChar w:fldCharType="begin"/>
      </w:r>
      <w:r>
        <w:rPr>
          <w:noProof/>
        </w:rPr>
        <w:instrText xml:space="preserve"> PAGEREF _Toc22383943 \h </w:instrText>
      </w:r>
      <w:r>
        <w:rPr>
          <w:noProof/>
        </w:rPr>
      </w:r>
      <w:r>
        <w:rPr>
          <w:noProof/>
        </w:rPr>
        <w:fldChar w:fldCharType="separate"/>
      </w:r>
      <w:r>
        <w:rPr>
          <w:noProof/>
        </w:rPr>
        <w:t>10</w:t>
      </w:r>
      <w:r>
        <w:rPr>
          <w:noProof/>
        </w:rPr>
        <w:fldChar w:fldCharType="end"/>
      </w:r>
    </w:p>
    <w:p w14:paraId="6EE95A91" w14:textId="429AA883" w:rsidR="004A480E" w:rsidRDefault="004A480E">
      <w:pPr>
        <w:pStyle w:val="TOC3"/>
        <w:rPr>
          <w:rFonts w:asciiTheme="minorHAnsi" w:eastAsiaTheme="minorEastAsia" w:hAnsiTheme="minorHAnsi" w:cstheme="minorBidi"/>
          <w:noProof/>
          <w:sz w:val="22"/>
        </w:rPr>
      </w:pPr>
      <w:r>
        <w:rPr>
          <w:noProof/>
        </w:rPr>
        <w:t>Federal government isn’t smart enough to know how/when to sell oil better than free markets could</w:t>
      </w:r>
      <w:r>
        <w:rPr>
          <w:noProof/>
        </w:rPr>
        <w:tab/>
      </w:r>
      <w:r>
        <w:rPr>
          <w:noProof/>
        </w:rPr>
        <w:fldChar w:fldCharType="begin"/>
      </w:r>
      <w:r>
        <w:rPr>
          <w:noProof/>
        </w:rPr>
        <w:instrText xml:space="preserve"> PAGEREF _Toc22383944 \h </w:instrText>
      </w:r>
      <w:r>
        <w:rPr>
          <w:noProof/>
        </w:rPr>
      </w:r>
      <w:r>
        <w:rPr>
          <w:noProof/>
        </w:rPr>
        <w:fldChar w:fldCharType="separate"/>
      </w:r>
      <w:r>
        <w:rPr>
          <w:noProof/>
        </w:rPr>
        <w:t>10</w:t>
      </w:r>
      <w:r>
        <w:rPr>
          <w:noProof/>
        </w:rPr>
        <w:fldChar w:fldCharType="end"/>
      </w:r>
    </w:p>
    <w:p w14:paraId="09446DB5" w14:textId="653E7D94" w:rsidR="004A480E" w:rsidRDefault="004A480E">
      <w:pPr>
        <w:pStyle w:val="TOC3"/>
        <w:rPr>
          <w:rFonts w:asciiTheme="minorHAnsi" w:eastAsiaTheme="minorEastAsia" w:hAnsiTheme="minorHAnsi" w:cstheme="minorBidi"/>
          <w:noProof/>
          <w:sz w:val="22"/>
        </w:rPr>
      </w:pPr>
      <w:r>
        <w:rPr>
          <w:noProof/>
        </w:rPr>
        <w:t>SPR vulnerable to political pressure to manipulate oil prices</w:t>
      </w:r>
      <w:r>
        <w:rPr>
          <w:noProof/>
        </w:rPr>
        <w:tab/>
      </w:r>
      <w:r>
        <w:rPr>
          <w:noProof/>
        </w:rPr>
        <w:fldChar w:fldCharType="begin"/>
      </w:r>
      <w:r>
        <w:rPr>
          <w:noProof/>
        </w:rPr>
        <w:instrText xml:space="preserve"> PAGEREF _Toc22383945 \h </w:instrText>
      </w:r>
      <w:r>
        <w:rPr>
          <w:noProof/>
        </w:rPr>
      </w:r>
      <w:r>
        <w:rPr>
          <w:noProof/>
        </w:rPr>
        <w:fldChar w:fldCharType="separate"/>
      </w:r>
      <w:r>
        <w:rPr>
          <w:noProof/>
        </w:rPr>
        <w:t>10</w:t>
      </w:r>
      <w:r>
        <w:rPr>
          <w:noProof/>
        </w:rPr>
        <w:fldChar w:fldCharType="end"/>
      </w:r>
    </w:p>
    <w:p w14:paraId="21316424" w14:textId="18B58742" w:rsidR="004A480E" w:rsidRDefault="004A480E">
      <w:pPr>
        <w:pStyle w:val="TOC3"/>
        <w:rPr>
          <w:rFonts w:asciiTheme="minorHAnsi" w:eastAsiaTheme="minorEastAsia" w:hAnsiTheme="minorHAnsi" w:cstheme="minorBidi"/>
          <w:noProof/>
          <w:sz w:val="22"/>
        </w:rPr>
      </w:pPr>
      <w:r>
        <w:rPr>
          <w:noProof/>
        </w:rPr>
        <w:t>SPR is used for political purposes</w:t>
      </w:r>
      <w:r>
        <w:rPr>
          <w:noProof/>
        </w:rPr>
        <w:tab/>
      </w:r>
      <w:r>
        <w:rPr>
          <w:noProof/>
        </w:rPr>
        <w:fldChar w:fldCharType="begin"/>
      </w:r>
      <w:r>
        <w:rPr>
          <w:noProof/>
        </w:rPr>
        <w:instrText xml:space="preserve"> PAGEREF _Toc22383946 \h </w:instrText>
      </w:r>
      <w:r>
        <w:rPr>
          <w:noProof/>
        </w:rPr>
      </w:r>
      <w:r>
        <w:rPr>
          <w:noProof/>
        </w:rPr>
        <w:fldChar w:fldCharType="separate"/>
      </w:r>
      <w:r>
        <w:rPr>
          <w:noProof/>
        </w:rPr>
        <w:t>11</w:t>
      </w:r>
      <w:r>
        <w:rPr>
          <w:noProof/>
        </w:rPr>
        <w:fldChar w:fldCharType="end"/>
      </w:r>
    </w:p>
    <w:p w14:paraId="7EDB7312" w14:textId="17BD2A36" w:rsidR="004A480E" w:rsidRDefault="004A480E">
      <w:pPr>
        <w:pStyle w:val="TOC3"/>
        <w:rPr>
          <w:rFonts w:asciiTheme="minorHAnsi" w:eastAsiaTheme="minorEastAsia" w:hAnsiTheme="minorHAnsi" w:cstheme="minorBidi"/>
          <w:noProof/>
          <w:sz w:val="22"/>
        </w:rPr>
      </w:pPr>
      <w:r>
        <w:rPr>
          <w:noProof/>
        </w:rPr>
        <w:t>Example:</w:t>
      </w:r>
      <w:r w:rsidR="00723C19">
        <w:rPr>
          <w:noProof/>
        </w:rPr>
        <w:t xml:space="preserve"> </w:t>
      </w:r>
      <w:r>
        <w:rPr>
          <w:noProof/>
        </w:rPr>
        <w:t>Obama in 2011 – released SPR oil for political reasons, to bring down prices, not because of any emergency</w:t>
      </w:r>
      <w:r>
        <w:rPr>
          <w:noProof/>
        </w:rPr>
        <w:tab/>
      </w:r>
      <w:r>
        <w:rPr>
          <w:noProof/>
        </w:rPr>
        <w:fldChar w:fldCharType="begin"/>
      </w:r>
      <w:r>
        <w:rPr>
          <w:noProof/>
        </w:rPr>
        <w:instrText xml:space="preserve"> PAGEREF _Toc22383947 \h </w:instrText>
      </w:r>
      <w:r>
        <w:rPr>
          <w:noProof/>
        </w:rPr>
      </w:r>
      <w:r>
        <w:rPr>
          <w:noProof/>
        </w:rPr>
        <w:fldChar w:fldCharType="separate"/>
      </w:r>
      <w:r>
        <w:rPr>
          <w:noProof/>
        </w:rPr>
        <w:t>11</w:t>
      </w:r>
      <w:r>
        <w:rPr>
          <w:noProof/>
        </w:rPr>
        <w:fldChar w:fldCharType="end"/>
      </w:r>
    </w:p>
    <w:p w14:paraId="43DA6A02" w14:textId="345E456F" w:rsidR="004A480E" w:rsidRDefault="004A480E">
      <w:pPr>
        <w:pStyle w:val="TOC2"/>
        <w:rPr>
          <w:rFonts w:asciiTheme="minorHAnsi" w:eastAsiaTheme="minorEastAsia" w:hAnsiTheme="minorHAnsi" w:cstheme="minorBidi"/>
          <w:noProof/>
          <w:sz w:val="22"/>
        </w:rPr>
      </w:pPr>
      <w:r>
        <w:rPr>
          <w:noProof/>
        </w:rPr>
        <w:t>SOLVENCY / ADVOCACY</w:t>
      </w:r>
      <w:r>
        <w:rPr>
          <w:noProof/>
        </w:rPr>
        <w:tab/>
      </w:r>
      <w:r>
        <w:rPr>
          <w:noProof/>
        </w:rPr>
        <w:fldChar w:fldCharType="begin"/>
      </w:r>
      <w:r>
        <w:rPr>
          <w:noProof/>
        </w:rPr>
        <w:instrText xml:space="preserve"> PAGEREF _Toc22383948 \h </w:instrText>
      </w:r>
      <w:r>
        <w:rPr>
          <w:noProof/>
        </w:rPr>
      </w:r>
      <w:r>
        <w:rPr>
          <w:noProof/>
        </w:rPr>
        <w:fldChar w:fldCharType="separate"/>
      </w:r>
      <w:r>
        <w:rPr>
          <w:noProof/>
        </w:rPr>
        <w:t>11</w:t>
      </w:r>
      <w:r>
        <w:rPr>
          <w:noProof/>
        </w:rPr>
        <w:fldChar w:fldCharType="end"/>
      </w:r>
    </w:p>
    <w:p w14:paraId="2D219AEE" w14:textId="72A732D4" w:rsidR="004A480E" w:rsidRDefault="004A480E">
      <w:pPr>
        <w:pStyle w:val="TOC3"/>
        <w:rPr>
          <w:rFonts w:asciiTheme="minorHAnsi" w:eastAsiaTheme="minorEastAsia" w:hAnsiTheme="minorHAnsi" w:cstheme="minorBidi"/>
          <w:noProof/>
          <w:sz w:val="22"/>
        </w:rPr>
      </w:pPr>
      <w:r>
        <w:rPr>
          <w:noProof/>
        </w:rPr>
        <w:t>Selling half the SPR would generate $16 billion</w:t>
      </w:r>
      <w:r>
        <w:rPr>
          <w:noProof/>
        </w:rPr>
        <w:tab/>
      </w:r>
      <w:r>
        <w:rPr>
          <w:noProof/>
        </w:rPr>
        <w:fldChar w:fldCharType="begin"/>
      </w:r>
      <w:r>
        <w:rPr>
          <w:noProof/>
        </w:rPr>
        <w:instrText xml:space="preserve"> PAGEREF _Toc22383949 \h </w:instrText>
      </w:r>
      <w:r>
        <w:rPr>
          <w:noProof/>
        </w:rPr>
      </w:r>
      <w:r>
        <w:rPr>
          <w:noProof/>
        </w:rPr>
        <w:fldChar w:fldCharType="separate"/>
      </w:r>
      <w:r>
        <w:rPr>
          <w:noProof/>
        </w:rPr>
        <w:t>11</w:t>
      </w:r>
      <w:r>
        <w:rPr>
          <w:noProof/>
        </w:rPr>
        <w:fldChar w:fldCharType="end"/>
      </w:r>
    </w:p>
    <w:p w14:paraId="7D416BE2" w14:textId="16814897" w:rsidR="004A480E" w:rsidRDefault="004A480E">
      <w:pPr>
        <w:pStyle w:val="TOC3"/>
        <w:rPr>
          <w:rFonts w:asciiTheme="minorHAnsi" w:eastAsiaTheme="minorEastAsia" w:hAnsiTheme="minorHAnsi" w:cstheme="minorBidi"/>
          <w:noProof/>
          <w:sz w:val="22"/>
        </w:rPr>
      </w:pPr>
      <w:r>
        <w:rPr>
          <w:noProof/>
        </w:rPr>
        <w:t>Congress should sell off the SPR over 2-3 years based on monthly production. It wouldn’t harm the market</w:t>
      </w:r>
      <w:r>
        <w:rPr>
          <w:noProof/>
        </w:rPr>
        <w:tab/>
      </w:r>
      <w:r>
        <w:rPr>
          <w:noProof/>
        </w:rPr>
        <w:fldChar w:fldCharType="begin"/>
      </w:r>
      <w:r>
        <w:rPr>
          <w:noProof/>
        </w:rPr>
        <w:instrText xml:space="preserve"> PAGEREF _Toc22383950 \h </w:instrText>
      </w:r>
      <w:r>
        <w:rPr>
          <w:noProof/>
        </w:rPr>
      </w:r>
      <w:r>
        <w:rPr>
          <w:noProof/>
        </w:rPr>
        <w:fldChar w:fldCharType="separate"/>
      </w:r>
      <w:r>
        <w:rPr>
          <w:noProof/>
        </w:rPr>
        <w:t>11</w:t>
      </w:r>
      <w:r>
        <w:rPr>
          <w:noProof/>
        </w:rPr>
        <w:fldChar w:fldCharType="end"/>
      </w:r>
    </w:p>
    <w:p w14:paraId="51D4AB9F" w14:textId="73164BF7" w:rsidR="004A480E" w:rsidRDefault="004A480E">
      <w:pPr>
        <w:pStyle w:val="TOC3"/>
        <w:rPr>
          <w:rFonts w:asciiTheme="minorHAnsi" w:eastAsiaTheme="minorEastAsia" w:hAnsiTheme="minorHAnsi" w:cstheme="minorBidi"/>
          <w:noProof/>
          <w:sz w:val="22"/>
        </w:rPr>
      </w:pPr>
      <w:r>
        <w:rPr>
          <w:noProof/>
        </w:rPr>
        <w:t>Storing the oil costs, but selling brings revenue</w:t>
      </w:r>
      <w:r>
        <w:rPr>
          <w:noProof/>
        </w:rPr>
        <w:tab/>
      </w:r>
      <w:r>
        <w:rPr>
          <w:noProof/>
        </w:rPr>
        <w:fldChar w:fldCharType="begin"/>
      </w:r>
      <w:r>
        <w:rPr>
          <w:noProof/>
        </w:rPr>
        <w:instrText xml:space="preserve"> PAGEREF _Toc22383951 \h </w:instrText>
      </w:r>
      <w:r>
        <w:rPr>
          <w:noProof/>
        </w:rPr>
      </w:r>
      <w:r>
        <w:rPr>
          <w:noProof/>
        </w:rPr>
        <w:fldChar w:fldCharType="separate"/>
      </w:r>
      <w:r>
        <w:rPr>
          <w:noProof/>
        </w:rPr>
        <w:t>12</w:t>
      </w:r>
      <w:r>
        <w:rPr>
          <w:noProof/>
        </w:rPr>
        <w:fldChar w:fldCharType="end"/>
      </w:r>
    </w:p>
    <w:p w14:paraId="66C8C99A" w14:textId="1393B4EE" w:rsidR="004A480E" w:rsidRDefault="004A480E">
      <w:pPr>
        <w:pStyle w:val="TOC3"/>
        <w:rPr>
          <w:rFonts w:asciiTheme="minorHAnsi" w:eastAsiaTheme="minorEastAsia" w:hAnsiTheme="minorHAnsi" w:cstheme="minorBidi"/>
          <w:noProof/>
          <w:sz w:val="22"/>
        </w:rPr>
      </w:pPr>
      <w:r>
        <w:rPr>
          <w:noProof/>
        </w:rPr>
        <w:t>Removing the hydrogen sulfide is possible, it just takes time</w:t>
      </w:r>
      <w:r>
        <w:rPr>
          <w:noProof/>
        </w:rPr>
        <w:tab/>
      </w:r>
      <w:r>
        <w:rPr>
          <w:noProof/>
        </w:rPr>
        <w:fldChar w:fldCharType="begin"/>
      </w:r>
      <w:r>
        <w:rPr>
          <w:noProof/>
        </w:rPr>
        <w:instrText xml:space="preserve"> PAGEREF _Toc22383952 \h </w:instrText>
      </w:r>
      <w:r>
        <w:rPr>
          <w:noProof/>
        </w:rPr>
      </w:r>
      <w:r>
        <w:rPr>
          <w:noProof/>
        </w:rPr>
        <w:fldChar w:fldCharType="separate"/>
      </w:r>
      <w:r>
        <w:rPr>
          <w:noProof/>
        </w:rPr>
        <w:t>12</w:t>
      </w:r>
      <w:r>
        <w:rPr>
          <w:noProof/>
        </w:rPr>
        <w:fldChar w:fldCharType="end"/>
      </w:r>
    </w:p>
    <w:p w14:paraId="3FEB06CA" w14:textId="3F2C8BA7" w:rsidR="004A480E" w:rsidRDefault="004A480E">
      <w:pPr>
        <w:pStyle w:val="TOC2"/>
        <w:rPr>
          <w:rFonts w:asciiTheme="minorHAnsi" w:eastAsiaTheme="minorEastAsia" w:hAnsiTheme="minorHAnsi" w:cstheme="minorBidi"/>
          <w:noProof/>
          <w:sz w:val="22"/>
        </w:rPr>
      </w:pPr>
      <w:r>
        <w:rPr>
          <w:noProof/>
        </w:rPr>
        <w:t>DISAD RESPONSES</w:t>
      </w:r>
      <w:r>
        <w:rPr>
          <w:noProof/>
        </w:rPr>
        <w:tab/>
      </w:r>
      <w:r>
        <w:rPr>
          <w:noProof/>
        </w:rPr>
        <w:fldChar w:fldCharType="begin"/>
      </w:r>
      <w:r>
        <w:rPr>
          <w:noProof/>
        </w:rPr>
        <w:instrText xml:space="preserve"> PAGEREF _Toc22383953 \h </w:instrText>
      </w:r>
      <w:r>
        <w:rPr>
          <w:noProof/>
        </w:rPr>
      </w:r>
      <w:r>
        <w:rPr>
          <w:noProof/>
        </w:rPr>
        <w:fldChar w:fldCharType="separate"/>
      </w:r>
      <w:r>
        <w:rPr>
          <w:noProof/>
        </w:rPr>
        <w:t>12</w:t>
      </w:r>
      <w:r>
        <w:rPr>
          <w:noProof/>
        </w:rPr>
        <w:fldChar w:fldCharType="end"/>
      </w:r>
    </w:p>
    <w:p w14:paraId="3670582A" w14:textId="462FDD9B" w:rsidR="004A480E" w:rsidRDefault="004A480E">
      <w:pPr>
        <w:pStyle w:val="TOC2"/>
        <w:rPr>
          <w:rFonts w:asciiTheme="minorHAnsi" w:eastAsiaTheme="minorEastAsia" w:hAnsiTheme="minorHAnsi" w:cstheme="minorBidi"/>
          <w:noProof/>
          <w:sz w:val="22"/>
        </w:rPr>
      </w:pPr>
      <w:r>
        <w:rPr>
          <w:noProof/>
        </w:rPr>
        <w:t>A/T “We Need the Reserve to Combat Supply Disruptions”</w:t>
      </w:r>
      <w:r>
        <w:rPr>
          <w:noProof/>
        </w:rPr>
        <w:tab/>
      </w:r>
      <w:r>
        <w:rPr>
          <w:noProof/>
        </w:rPr>
        <w:fldChar w:fldCharType="begin"/>
      </w:r>
      <w:r>
        <w:rPr>
          <w:noProof/>
        </w:rPr>
        <w:instrText xml:space="preserve"> PAGEREF _Toc22383954 \h </w:instrText>
      </w:r>
      <w:r>
        <w:rPr>
          <w:noProof/>
        </w:rPr>
      </w:r>
      <w:r>
        <w:rPr>
          <w:noProof/>
        </w:rPr>
        <w:fldChar w:fldCharType="separate"/>
      </w:r>
      <w:r>
        <w:rPr>
          <w:noProof/>
        </w:rPr>
        <w:t>12</w:t>
      </w:r>
      <w:r>
        <w:rPr>
          <w:noProof/>
        </w:rPr>
        <w:fldChar w:fldCharType="end"/>
      </w:r>
    </w:p>
    <w:p w14:paraId="0EF30280" w14:textId="70E1B906" w:rsidR="004A480E" w:rsidRDefault="004A480E">
      <w:pPr>
        <w:pStyle w:val="TOC3"/>
        <w:rPr>
          <w:rFonts w:asciiTheme="minorHAnsi" w:eastAsiaTheme="minorEastAsia" w:hAnsiTheme="minorHAnsi" w:cstheme="minorBidi"/>
          <w:noProof/>
          <w:sz w:val="22"/>
        </w:rPr>
      </w:pPr>
      <w:r>
        <w:rPr>
          <w:noProof/>
        </w:rPr>
        <w:t>We can use private reserves and governmental response doesn’t help</w:t>
      </w:r>
      <w:r>
        <w:rPr>
          <w:noProof/>
        </w:rPr>
        <w:tab/>
      </w:r>
      <w:r>
        <w:rPr>
          <w:noProof/>
        </w:rPr>
        <w:fldChar w:fldCharType="begin"/>
      </w:r>
      <w:r>
        <w:rPr>
          <w:noProof/>
        </w:rPr>
        <w:instrText xml:space="preserve"> PAGEREF _Toc22383955 \h </w:instrText>
      </w:r>
      <w:r>
        <w:rPr>
          <w:noProof/>
        </w:rPr>
      </w:r>
      <w:r>
        <w:rPr>
          <w:noProof/>
        </w:rPr>
        <w:fldChar w:fldCharType="separate"/>
      </w:r>
      <w:r>
        <w:rPr>
          <w:noProof/>
        </w:rPr>
        <w:t>12</w:t>
      </w:r>
      <w:r>
        <w:rPr>
          <w:noProof/>
        </w:rPr>
        <w:fldChar w:fldCharType="end"/>
      </w:r>
    </w:p>
    <w:p w14:paraId="1BB3A7AB" w14:textId="31F56A55" w:rsidR="004A480E" w:rsidRDefault="004A480E">
      <w:pPr>
        <w:pStyle w:val="TOC3"/>
        <w:rPr>
          <w:rFonts w:asciiTheme="minorHAnsi" w:eastAsiaTheme="minorEastAsia" w:hAnsiTheme="minorHAnsi" w:cstheme="minorBidi"/>
          <w:noProof/>
          <w:sz w:val="22"/>
        </w:rPr>
      </w:pPr>
      <w:r>
        <w:rPr>
          <w:noProof/>
        </w:rPr>
        <w:t>Lots of world events are happening that affect oil, but markets remain stable</w:t>
      </w:r>
      <w:r>
        <w:rPr>
          <w:noProof/>
        </w:rPr>
        <w:tab/>
      </w:r>
      <w:r>
        <w:rPr>
          <w:noProof/>
        </w:rPr>
        <w:fldChar w:fldCharType="begin"/>
      </w:r>
      <w:r>
        <w:rPr>
          <w:noProof/>
        </w:rPr>
        <w:instrText xml:space="preserve"> PAGEREF _Toc22383956 \h </w:instrText>
      </w:r>
      <w:r>
        <w:rPr>
          <w:noProof/>
        </w:rPr>
      </w:r>
      <w:r>
        <w:rPr>
          <w:noProof/>
        </w:rPr>
        <w:fldChar w:fldCharType="separate"/>
      </w:r>
      <w:r>
        <w:rPr>
          <w:noProof/>
        </w:rPr>
        <w:t>12</w:t>
      </w:r>
      <w:r>
        <w:rPr>
          <w:noProof/>
        </w:rPr>
        <w:fldChar w:fldCharType="end"/>
      </w:r>
    </w:p>
    <w:p w14:paraId="56340351" w14:textId="05A089E0" w:rsidR="004A480E" w:rsidRDefault="004A480E">
      <w:pPr>
        <w:pStyle w:val="TOC3"/>
        <w:rPr>
          <w:rFonts w:asciiTheme="minorHAnsi" w:eastAsiaTheme="minorEastAsia" w:hAnsiTheme="minorHAnsi" w:cstheme="minorBidi"/>
          <w:noProof/>
          <w:sz w:val="22"/>
        </w:rPr>
      </w:pPr>
      <w:r>
        <w:rPr>
          <w:noProof/>
        </w:rPr>
        <w:t>Supply disruptions are now rare</w:t>
      </w:r>
      <w:r>
        <w:rPr>
          <w:noProof/>
        </w:rPr>
        <w:tab/>
      </w:r>
      <w:r>
        <w:rPr>
          <w:noProof/>
        </w:rPr>
        <w:fldChar w:fldCharType="begin"/>
      </w:r>
      <w:r>
        <w:rPr>
          <w:noProof/>
        </w:rPr>
        <w:instrText xml:space="preserve"> PAGEREF _Toc22383957 \h </w:instrText>
      </w:r>
      <w:r>
        <w:rPr>
          <w:noProof/>
        </w:rPr>
      </w:r>
      <w:r>
        <w:rPr>
          <w:noProof/>
        </w:rPr>
        <w:fldChar w:fldCharType="separate"/>
      </w:r>
      <w:r>
        <w:rPr>
          <w:noProof/>
        </w:rPr>
        <w:t>13</w:t>
      </w:r>
      <w:r>
        <w:rPr>
          <w:noProof/>
        </w:rPr>
        <w:fldChar w:fldCharType="end"/>
      </w:r>
    </w:p>
    <w:p w14:paraId="24701D1C" w14:textId="31BA94B9" w:rsidR="004A480E" w:rsidRDefault="004A480E">
      <w:pPr>
        <w:pStyle w:val="TOC3"/>
        <w:rPr>
          <w:rFonts w:asciiTheme="minorHAnsi" w:eastAsiaTheme="minorEastAsia" w:hAnsiTheme="minorHAnsi" w:cstheme="minorBidi"/>
          <w:noProof/>
          <w:sz w:val="22"/>
        </w:rPr>
      </w:pPr>
      <w:r>
        <w:rPr>
          <w:noProof/>
        </w:rPr>
        <w:t>It takes weeks for oil released from the reserve to hit the market, so it has limited ability to combat supply disruptions</w:t>
      </w:r>
      <w:r>
        <w:rPr>
          <w:noProof/>
        </w:rPr>
        <w:tab/>
      </w:r>
      <w:r>
        <w:rPr>
          <w:noProof/>
        </w:rPr>
        <w:fldChar w:fldCharType="begin"/>
      </w:r>
      <w:r>
        <w:rPr>
          <w:noProof/>
        </w:rPr>
        <w:instrText xml:space="preserve"> PAGEREF _Toc22383958 \h </w:instrText>
      </w:r>
      <w:r>
        <w:rPr>
          <w:noProof/>
        </w:rPr>
      </w:r>
      <w:r>
        <w:rPr>
          <w:noProof/>
        </w:rPr>
        <w:fldChar w:fldCharType="separate"/>
      </w:r>
      <w:r>
        <w:rPr>
          <w:noProof/>
        </w:rPr>
        <w:t>13</w:t>
      </w:r>
      <w:r>
        <w:rPr>
          <w:noProof/>
        </w:rPr>
        <w:fldChar w:fldCharType="end"/>
      </w:r>
    </w:p>
    <w:p w14:paraId="7C19771C" w14:textId="6D4F4601" w:rsidR="004A480E" w:rsidRDefault="004A480E">
      <w:pPr>
        <w:pStyle w:val="TOC3"/>
        <w:rPr>
          <w:rFonts w:asciiTheme="minorHAnsi" w:eastAsiaTheme="minorEastAsia" w:hAnsiTheme="minorHAnsi" w:cstheme="minorBidi"/>
          <w:noProof/>
          <w:sz w:val="22"/>
        </w:rPr>
      </w:pPr>
      <w:r>
        <w:rPr>
          <w:noProof/>
        </w:rPr>
        <w:t>Technological advances have eliminated the possibility of a shortage</w:t>
      </w:r>
      <w:r>
        <w:rPr>
          <w:noProof/>
        </w:rPr>
        <w:tab/>
      </w:r>
      <w:r>
        <w:rPr>
          <w:noProof/>
        </w:rPr>
        <w:fldChar w:fldCharType="begin"/>
      </w:r>
      <w:r>
        <w:rPr>
          <w:noProof/>
        </w:rPr>
        <w:instrText xml:space="preserve"> PAGEREF _Toc22383959 \h </w:instrText>
      </w:r>
      <w:r>
        <w:rPr>
          <w:noProof/>
        </w:rPr>
      </w:r>
      <w:r>
        <w:rPr>
          <w:noProof/>
        </w:rPr>
        <w:fldChar w:fldCharType="separate"/>
      </w:r>
      <w:r>
        <w:rPr>
          <w:noProof/>
        </w:rPr>
        <w:t>13</w:t>
      </w:r>
      <w:r>
        <w:rPr>
          <w:noProof/>
        </w:rPr>
        <w:fldChar w:fldCharType="end"/>
      </w:r>
    </w:p>
    <w:p w14:paraId="77FB795C" w14:textId="39480A00" w:rsidR="004A480E" w:rsidRDefault="004A480E">
      <w:pPr>
        <w:pStyle w:val="TOC3"/>
        <w:rPr>
          <w:rFonts w:asciiTheme="minorHAnsi" w:eastAsiaTheme="minorEastAsia" w:hAnsiTheme="minorHAnsi" w:cstheme="minorBidi"/>
          <w:noProof/>
          <w:sz w:val="22"/>
        </w:rPr>
      </w:pPr>
      <w:r>
        <w:rPr>
          <w:noProof/>
        </w:rPr>
        <w:t>There aren’t shortages in the free market</w:t>
      </w:r>
      <w:r>
        <w:rPr>
          <w:noProof/>
        </w:rPr>
        <w:tab/>
      </w:r>
      <w:r>
        <w:rPr>
          <w:noProof/>
        </w:rPr>
        <w:fldChar w:fldCharType="begin"/>
      </w:r>
      <w:r>
        <w:rPr>
          <w:noProof/>
        </w:rPr>
        <w:instrText xml:space="preserve"> PAGEREF _Toc22383960 \h </w:instrText>
      </w:r>
      <w:r>
        <w:rPr>
          <w:noProof/>
        </w:rPr>
      </w:r>
      <w:r>
        <w:rPr>
          <w:noProof/>
        </w:rPr>
        <w:fldChar w:fldCharType="separate"/>
      </w:r>
      <w:r>
        <w:rPr>
          <w:noProof/>
        </w:rPr>
        <w:t>13</w:t>
      </w:r>
      <w:r>
        <w:rPr>
          <w:noProof/>
        </w:rPr>
        <w:fldChar w:fldCharType="end"/>
      </w:r>
    </w:p>
    <w:p w14:paraId="056BB8EF" w14:textId="2593472F" w:rsidR="004A480E" w:rsidRDefault="004A480E">
      <w:pPr>
        <w:pStyle w:val="TOC3"/>
        <w:rPr>
          <w:rFonts w:asciiTheme="minorHAnsi" w:eastAsiaTheme="minorEastAsia" w:hAnsiTheme="minorHAnsi" w:cstheme="minorBidi"/>
          <w:noProof/>
          <w:sz w:val="22"/>
        </w:rPr>
      </w:pPr>
      <w:r>
        <w:rPr>
          <w:noProof/>
        </w:rPr>
        <w:t>If there was a supply disruption, the market would balance out without the SPR</w:t>
      </w:r>
      <w:r>
        <w:rPr>
          <w:noProof/>
        </w:rPr>
        <w:tab/>
      </w:r>
      <w:r>
        <w:rPr>
          <w:noProof/>
        </w:rPr>
        <w:fldChar w:fldCharType="begin"/>
      </w:r>
      <w:r>
        <w:rPr>
          <w:noProof/>
        </w:rPr>
        <w:instrText xml:space="preserve"> PAGEREF _Toc22383961 \h </w:instrText>
      </w:r>
      <w:r>
        <w:rPr>
          <w:noProof/>
        </w:rPr>
      </w:r>
      <w:r>
        <w:rPr>
          <w:noProof/>
        </w:rPr>
        <w:fldChar w:fldCharType="separate"/>
      </w:r>
      <w:r>
        <w:rPr>
          <w:noProof/>
        </w:rPr>
        <w:t>14</w:t>
      </w:r>
      <w:r>
        <w:rPr>
          <w:noProof/>
        </w:rPr>
        <w:fldChar w:fldCharType="end"/>
      </w:r>
    </w:p>
    <w:p w14:paraId="10A25BB4" w14:textId="33048BEF" w:rsidR="004A480E" w:rsidRDefault="004A480E">
      <w:pPr>
        <w:pStyle w:val="TOC3"/>
        <w:rPr>
          <w:rFonts w:asciiTheme="minorHAnsi" w:eastAsiaTheme="minorEastAsia" w:hAnsiTheme="minorHAnsi" w:cstheme="minorBidi"/>
          <w:noProof/>
          <w:sz w:val="22"/>
        </w:rPr>
      </w:pPr>
      <w:r>
        <w:rPr>
          <w:noProof/>
        </w:rPr>
        <w:t>A/T “1970s oil embargo shows vulnerability to shortages” – Shortages were result of poor U.S. policy, not the embargo/ the lack of a reserve</w:t>
      </w:r>
      <w:r>
        <w:rPr>
          <w:noProof/>
        </w:rPr>
        <w:tab/>
      </w:r>
      <w:r>
        <w:rPr>
          <w:noProof/>
        </w:rPr>
        <w:fldChar w:fldCharType="begin"/>
      </w:r>
      <w:r>
        <w:rPr>
          <w:noProof/>
        </w:rPr>
        <w:instrText xml:space="preserve"> PAGEREF _Toc22383962 \h </w:instrText>
      </w:r>
      <w:r>
        <w:rPr>
          <w:noProof/>
        </w:rPr>
      </w:r>
      <w:r>
        <w:rPr>
          <w:noProof/>
        </w:rPr>
        <w:fldChar w:fldCharType="separate"/>
      </w:r>
      <w:r>
        <w:rPr>
          <w:noProof/>
        </w:rPr>
        <w:t>14</w:t>
      </w:r>
      <w:r>
        <w:rPr>
          <w:noProof/>
        </w:rPr>
        <w:fldChar w:fldCharType="end"/>
      </w:r>
    </w:p>
    <w:p w14:paraId="3FA4C8AE" w14:textId="76929803" w:rsidR="004A480E" w:rsidRDefault="004A480E">
      <w:pPr>
        <w:pStyle w:val="TOC2"/>
        <w:rPr>
          <w:rFonts w:asciiTheme="minorHAnsi" w:eastAsiaTheme="minorEastAsia" w:hAnsiTheme="minorHAnsi" w:cstheme="minorBidi"/>
          <w:noProof/>
          <w:sz w:val="22"/>
        </w:rPr>
      </w:pPr>
      <w:r>
        <w:rPr>
          <w:noProof/>
        </w:rPr>
        <w:t>A/T “The SPR can significantly cut oil prices”</w:t>
      </w:r>
      <w:r>
        <w:rPr>
          <w:noProof/>
        </w:rPr>
        <w:tab/>
      </w:r>
      <w:r>
        <w:rPr>
          <w:noProof/>
        </w:rPr>
        <w:fldChar w:fldCharType="begin"/>
      </w:r>
      <w:r>
        <w:rPr>
          <w:noProof/>
        </w:rPr>
        <w:instrText xml:space="preserve"> PAGEREF _Toc22383963 \h </w:instrText>
      </w:r>
      <w:r>
        <w:rPr>
          <w:noProof/>
        </w:rPr>
      </w:r>
      <w:r>
        <w:rPr>
          <w:noProof/>
        </w:rPr>
        <w:fldChar w:fldCharType="separate"/>
      </w:r>
      <w:r>
        <w:rPr>
          <w:noProof/>
        </w:rPr>
        <w:t>14</w:t>
      </w:r>
      <w:r>
        <w:rPr>
          <w:noProof/>
        </w:rPr>
        <w:fldChar w:fldCharType="end"/>
      </w:r>
    </w:p>
    <w:p w14:paraId="2FB38F35" w14:textId="602FDA04" w:rsidR="004A480E" w:rsidRDefault="004A480E">
      <w:pPr>
        <w:pStyle w:val="TOC3"/>
        <w:rPr>
          <w:rFonts w:asciiTheme="minorHAnsi" w:eastAsiaTheme="minorEastAsia" w:hAnsiTheme="minorHAnsi" w:cstheme="minorBidi"/>
          <w:noProof/>
          <w:sz w:val="22"/>
        </w:rPr>
      </w:pPr>
      <w:r>
        <w:rPr>
          <w:noProof/>
        </w:rPr>
        <w:t>That assumes perfect management</w:t>
      </w:r>
      <w:r>
        <w:rPr>
          <w:noProof/>
        </w:rPr>
        <w:tab/>
      </w:r>
      <w:r>
        <w:rPr>
          <w:noProof/>
        </w:rPr>
        <w:fldChar w:fldCharType="begin"/>
      </w:r>
      <w:r>
        <w:rPr>
          <w:noProof/>
        </w:rPr>
        <w:instrText xml:space="preserve"> PAGEREF _Toc22383964 \h </w:instrText>
      </w:r>
      <w:r>
        <w:rPr>
          <w:noProof/>
        </w:rPr>
      </w:r>
      <w:r>
        <w:rPr>
          <w:noProof/>
        </w:rPr>
        <w:fldChar w:fldCharType="separate"/>
      </w:r>
      <w:r>
        <w:rPr>
          <w:noProof/>
        </w:rPr>
        <w:t>14</w:t>
      </w:r>
      <w:r>
        <w:rPr>
          <w:noProof/>
        </w:rPr>
        <w:fldChar w:fldCharType="end"/>
      </w:r>
    </w:p>
    <w:p w14:paraId="1689AF7C" w14:textId="64D6E81E" w:rsidR="004A480E" w:rsidRDefault="004A480E">
      <w:pPr>
        <w:pStyle w:val="TOC3"/>
        <w:rPr>
          <w:rFonts w:asciiTheme="minorHAnsi" w:eastAsiaTheme="minorEastAsia" w:hAnsiTheme="minorHAnsi" w:cstheme="minorBidi"/>
          <w:noProof/>
          <w:sz w:val="22"/>
        </w:rPr>
      </w:pPr>
      <w:r>
        <w:rPr>
          <w:noProof/>
        </w:rPr>
        <w:t>The SPR was never intended to lower prices</w:t>
      </w:r>
      <w:r>
        <w:rPr>
          <w:noProof/>
        </w:rPr>
        <w:tab/>
      </w:r>
      <w:r>
        <w:rPr>
          <w:noProof/>
        </w:rPr>
        <w:fldChar w:fldCharType="begin"/>
      </w:r>
      <w:r>
        <w:rPr>
          <w:noProof/>
        </w:rPr>
        <w:instrText xml:space="preserve"> PAGEREF _Toc22383965 \h </w:instrText>
      </w:r>
      <w:r>
        <w:rPr>
          <w:noProof/>
        </w:rPr>
      </w:r>
      <w:r>
        <w:rPr>
          <w:noProof/>
        </w:rPr>
        <w:fldChar w:fldCharType="separate"/>
      </w:r>
      <w:r>
        <w:rPr>
          <w:noProof/>
        </w:rPr>
        <w:t>15</w:t>
      </w:r>
      <w:r>
        <w:rPr>
          <w:noProof/>
        </w:rPr>
        <w:fldChar w:fldCharType="end"/>
      </w:r>
    </w:p>
    <w:p w14:paraId="3B1DE99C" w14:textId="773EFB08" w:rsidR="004A480E" w:rsidRDefault="004A480E">
      <w:pPr>
        <w:pStyle w:val="TOC3"/>
        <w:rPr>
          <w:rFonts w:asciiTheme="minorHAnsi" w:eastAsiaTheme="minorEastAsia" w:hAnsiTheme="minorHAnsi" w:cstheme="minorBidi"/>
          <w:noProof/>
          <w:sz w:val="22"/>
        </w:rPr>
      </w:pPr>
      <w:r>
        <w:rPr>
          <w:noProof/>
        </w:rPr>
        <w:t>Markets and prices balance out supply and demand just fine, and solve for potential shortages</w:t>
      </w:r>
      <w:r>
        <w:rPr>
          <w:noProof/>
        </w:rPr>
        <w:tab/>
      </w:r>
      <w:r>
        <w:rPr>
          <w:noProof/>
        </w:rPr>
        <w:fldChar w:fldCharType="begin"/>
      </w:r>
      <w:r>
        <w:rPr>
          <w:noProof/>
        </w:rPr>
        <w:instrText xml:space="preserve"> PAGEREF _Toc22383966 \h </w:instrText>
      </w:r>
      <w:r>
        <w:rPr>
          <w:noProof/>
        </w:rPr>
      </w:r>
      <w:r>
        <w:rPr>
          <w:noProof/>
        </w:rPr>
        <w:fldChar w:fldCharType="separate"/>
      </w:r>
      <w:r>
        <w:rPr>
          <w:noProof/>
        </w:rPr>
        <w:t>15</w:t>
      </w:r>
      <w:r>
        <w:rPr>
          <w:noProof/>
        </w:rPr>
        <w:fldChar w:fldCharType="end"/>
      </w:r>
    </w:p>
    <w:p w14:paraId="0597DD0B" w14:textId="0F62C153" w:rsidR="004A480E" w:rsidRDefault="004A480E">
      <w:pPr>
        <w:pStyle w:val="TOC3"/>
        <w:rPr>
          <w:rFonts w:asciiTheme="minorHAnsi" w:eastAsiaTheme="minorEastAsia" w:hAnsiTheme="minorHAnsi" w:cstheme="minorBidi"/>
          <w:noProof/>
          <w:sz w:val="22"/>
        </w:rPr>
      </w:pPr>
      <w:r>
        <w:rPr>
          <w:noProof/>
        </w:rPr>
        <w:t>Example: the free market lowered prices in 2008 after big price spike</w:t>
      </w:r>
      <w:r>
        <w:rPr>
          <w:noProof/>
        </w:rPr>
        <w:tab/>
      </w:r>
      <w:r>
        <w:rPr>
          <w:noProof/>
        </w:rPr>
        <w:fldChar w:fldCharType="begin"/>
      </w:r>
      <w:r>
        <w:rPr>
          <w:noProof/>
        </w:rPr>
        <w:instrText xml:space="preserve"> PAGEREF _Toc22383967 \h </w:instrText>
      </w:r>
      <w:r>
        <w:rPr>
          <w:noProof/>
        </w:rPr>
      </w:r>
      <w:r>
        <w:rPr>
          <w:noProof/>
        </w:rPr>
        <w:fldChar w:fldCharType="separate"/>
      </w:r>
      <w:r>
        <w:rPr>
          <w:noProof/>
        </w:rPr>
        <w:t>15</w:t>
      </w:r>
      <w:r>
        <w:rPr>
          <w:noProof/>
        </w:rPr>
        <w:fldChar w:fldCharType="end"/>
      </w:r>
    </w:p>
    <w:p w14:paraId="2E079A88" w14:textId="0E02363A" w:rsidR="004A480E" w:rsidRDefault="004A480E">
      <w:pPr>
        <w:pStyle w:val="TOC3"/>
        <w:rPr>
          <w:rFonts w:asciiTheme="minorHAnsi" w:eastAsiaTheme="minorEastAsia" w:hAnsiTheme="minorHAnsi" w:cstheme="minorBidi"/>
          <w:noProof/>
          <w:sz w:val="22"/>
        </w:rPr>
      </w:pPr>
      <w:r>
        <w:rPr>
          <w:noProof/>
        </w:rPr>
        <w:t>SPR releases for economic benefit don’t work</w:t>
      </w:r>
      <w:r>
        <w:rPr>
          <w:noProof/>
        </w:rPr>
        <w:tab/>
      </w:r>
      <w:r>
        <w:rPr>
          <w:noProof/>
        </w:rPr>
        <w:fldChar w:fldCharType="begin"/>
      </w:r>
      <w:r>
        <w:rPr>
          <w:noProof/>
        </w:rPr>
        <w:instrText xml:space="preserve"> PAGEREF _Toc22383968 \h </w:instrText>
      </w:r>
      <w:r>
        <w:rPr>
          <w:noProof/>
        </w:rPr>
      </w:r>
      <w:r>
        <w:rPr>
          <w:noProof/>
        </w:rPr>
        <w:fldChar w:fldCharType="separate"/>
      </w:r>
      <w:r>
        <w:rPr>
          <w:noProof/>
        </w:rPr>
        <w:t>15</w:t>
      </w:r>
      <w:r>
        <w:rPr>
          <w:noProof/>
        </w:rPr>
        <w:fldChar w:fldCharType="end"/>
      </w:r>
    </w:p>
    <w:p w14:paraId="74C01B56" w14:textId="096F1174" w:rsidR="004A480E" w:rsidRDefault="004A480E">
      <w:pPr>
        <w:pStyle w:val="TOC3"/>
        <w:rPr>
          <w:rFonts w:asciiTheme="minorHAnsi" w:eastAsiaTheme="minorEastAsia" w:hAnsiTheme="minorHAnsi" w:cstheme="minorBidi"/>
          <w:noProof/>
          <w:sz w:val="22"/>
        </w:rPr>
      </w:pPr>
      <w:r>
        <w:rPr>
          <w:noProof/>
        </w:rPr>
        <w:t>Mixed market impact resulted when we sold oil from the reserve in the past</w:t>
      </w:r>
      <w:r>
        <w:rPr>
          <w:noProof/>
        </w:rPr>
        <w:tab/>
      </w:r>
      <w:r>
        <w:rPr>
          <w:noProof/>
        </w:rPr>
        <w:fldChar w:fldCharType="begin"/>
      </w:r>
      <w:r>
        <w:rPr>
          <w:noProof/>
        </w:rPr>
        <w:instrText xml:space="preserve"> PAGEREF _Toc22383969 \h </w:instrText>
      </w:r>
      <w:r>
        <w:rPr>
          <w:noProof/>
        </w:rPr>
      </w:r>
      <w:r>
        <w:rPr>
          <w:noProof/>
        </w:rPr>
        <w:fldChar w:fldCharType="separate"/>
      </w:r>
      <w:r>
        <w:rPr>
          <w:noProof/>
        </w:rPr>
        <w:t>16</w:t>
      </w:r>
      <w:r>
        <w:rPr>
          <w:noProof/>
        </w:rPr>
        <w:fldChar w:fldCharType="end"/>
      </w:r>
    </w:p>
    <w:p w14:paraId="08E59A79" w14:textId="0315D715" w:rsidR="004A480E" w:rsidRDefault="004A480E">
      <w:pPr>
        <w:pStyle w:val="TOC3"/>
        <w:rPr>
          <w:rFonts w:asciiTheme="minorHAnsi" w:eastAsiaTheme="minorEastAsia" w:hAnsiTheme="minorHAnsi" w:cstheme="minorBidi"/>
          <w:noProof/>
          <w:sz w:val="22"/>
        </w:rPr>
      </w:pPr>
      <w:r>
        <w:rPr>
          <w:noProof/>
        </w:rPr>
        <w:t>Even if the SPR could lower oil prices, the downsides of government interference in the free market outweigh the cost advantage</w:t>
      </w:r>
      <w:r>
        <w:rPr>
          <w:noProof/>
        </w:rPr>
        <w:tab/>
      </w:r>
      <w:r>
        <w:rPr>
          <w:noProof/>
        </w:rPr>
        <w:fldChar w:fldCharType="begin"/>
      </w:r>
      <w:r>
        <w:rPr>
          <w:noProof/>
        </w:rPr>
        <w:instrText xml:space="preserve"> PAGEREF _Toc22383970 \h </w:instrText>
      </w:r>
      <w:r>
        <w:rPr>
          <w:noProof/>
        </w:rPr>
      </w:r>
      <w:r>
        <w:rPr>
          <w:noProof/>
        </w:rPr>
        <w:fldChar w:fldCharType="separate"/>
      </w:r>
      <w:r>
        <w:rPr>
          <w:noProof/>
        </w:rPr>
        <w:t>16</w:t>
      </w:r>
      <w:r>
        <w:rPr>
          <w:noProof/>
        </w:rPr>
        <w:fldChar w:fldCharType="end"/>
      </w:r>
    </w:p>
    <w:p w14:paraId="6B63BA8B" w14:textId="6D8C6BFD" w:rsidR="004A480E" w:rsidRDefault="004A480E">
      <w:pPr>
        <w:pStyle w:val="TOC2"/>
        <w:rPr>
          <w:rFonts w:asciiTheme="minorHAnsi" w:eastAsiaTheme="minorEastAsia" w:hAnsiTheme="minorHAnsi" w:cstheme="minorBidi"/>
          <w:noProof/>
          <w:sz w:val="22"/>
        </w:rPr>
      </w:pPr>
      <w:r>
        <w:rPr>
          <w:noProof/>
        </w:rPr>
        <w:t>A/T “Break IEA agreement that requiring 90 days of imports on reserve”</w:t>
      </w:r>
      <w:r>
        <w:rPr>
          <w:noProof/>
        </w:rPr>
        <w:tab/>
      </w:r>
      <w:r>
        <w:rPr>
          <w:noProof/>
        </w:rPr>
        <w:fldChar w:fldCharType="begin"/>
      </w:r>
      <w:r>
        <w:rPr>
          <w:noProof/>
        </w:rPr>
        <w:instrText xml:space="preserve"> PAGEREF _Toc22383971 \h </w:instrText>
      </w:r>
      <w:r>
        <w:rPr>
          <w:noProof/>
        </w:rPr>
      </w:r>
      <w:r>
        <w:rPr>
          <w:noProof/>
        </w:rPr>
        <w:fldChar w:fldCharType="separate"/>
      </w:r>
      <w:r>
        <w:rPr>
          <w:noProof/>
        </w:rPr>
        <w:t>16</w:t>
      </w:r>
      <w:r>
        <w:rPr>
          <w:noProof/>
        </w:rPr>
        <w:fldChar w:fldCharType="end"/>
      </w:r>
    </w:p>
    <w:p w14:paraId="6BF8553D" w14:textId="2BEE84DF" w:rsidR="004A480E" w:rsidRDefault="004A480E">
      <w:pPr>
        <w:pStyle w:val="TOC3"/>
        <w:rPr>
          <w:rFonts w:asciiTheme="minorHAnsi" w:eastAsiaTheme="minorEastAsia" w:hAnsiTheme="minorHAnsi" w:cstheme="minorBidi"/>
          <w:noProof/>
          <w:sz w:val="22"/>
        </w:rPr>
      </w:pPr>
      <w:r>
        <w:rPr>
          <w:noProof/>
        </w:rPr>
        <w:t>Easiest response:</w:t>
      </w:r>
      <w:r w:rsidR="00723C19">
        <w:rPr>
          <w:noProof/>
        </w:rPr>
        <w:t xml:space="preserve"> </w:t>
      </w:r>
      <w:r>
        <w:rPr>
          <w:noProof/>
        </w:rPr>
        <w:t>So What?</w:t>
      </w:r>
      <w:r>
        <w:rPr>
          <w:noProof/>
        </w:rPr>
        <w:tab/>
      </w:r>
      <w:r>
        <w:rPr>
          <w:noProof/>
        </w:rPr>
        <w:fldChar w:fldCharType="begin"/>
      </w:r>
      <w:r>
        <w:rPr>
          <w:noProof/>
        </w:rPr>
        <w:instrText xml:space="preserve"> PAGEREF _Toc22383972 \h </w:instrText>
      </w:r>
      <w:r>
        <w:rPr>
          <w:noProof/>
        </w:rPr>
      </w:r>
      <w:r>
        <w:rPr>
          <w:noProof/>
        </w:rPr>
        <w:fldChar w:fldCharType="separate"/>
      </w:r>
      <w:r>
        <w:rPr>
          <w:noProof/>
        </w:rPr>
        <w:t>16</w:t>
      </w:r>
      <w:r>
        <w:rPr>
          <w:noProof/>
        </w:rPr>
        <w:fldChar w:fldCharType="end"/>
      </w:r>
    </w:p>
    <w:p w14:paraId="30EAF0FC" w14:textId="239B33E1" w:rsidR="004A480E" w:rsidRDefault="004A480E">
      <w:pPr>
        <w:pStyle w:val="TOC3"/>
        <w:rPr>
          <w:rFonts w:asciiTheme="minorHAnsi" w:eastAsiaTheme="minorEastAsia" w:hAnsiTheme="minorHAnsi" w:cstheme="minorBidi"/>
          <w:noProof/>
          <w:sz w:val="22"/>
        </w:rPr>
      </w:pPr>
      <w:r>
        <w:rPr>
          <w:noProof/>
        </w:rPr>
        <w:t>We can uphold the agreement through private reserves</w:t>
      </w:r>
      <w:r>
        <w:rPr>
          <w:noProof/>
        </w:rPr>
        <w:tab/>
      </w:r>
      <w:r>
        <w:rPr>
          <w:noProof/>
        </w:rPr>
        <w:fldChar w:fldCharType="begin"/>
      </w:r>
      <w:r>
        <w:rPr>
          <w:noProof/>
        </w:rPr>
        <w:instrText xml:space="preserve"> PAGEREF _Toc22383973 \h </w:instrText>
      </w:r>
      <w:r>
        <w:rPr>
          <w:noProof/>
        </w:rPr>
      </w:r>
      <w:r>
        <w:rPr>
          <w:noProof/>
        </w:rPr>
        <w:fldChar w:fldCharType="separate"/>
      </w:r>
      <w:r>
        <w:rPr>
          <w:noProof/>
        </w:rPr>
        <w:t>17</w:t>
      </w:r>
      <w:r>
        <w:rPr>
          <w:noProof/>
        </w:rPr>
        <w:fldChar w:fldCharType="end"/>
      </w:r>
    </w:p>
    <w:p w14:paraId="402BB5B5" w14:textId="079D96A8" w:rsidR="004A480E" w:rsidRDefault="004A480E">
      <w:pPr>
        <w:pStyle w:val="TOC3"/>
        <w:rPr>
          <w:rFonts w:asciiTheme="minorHAnsi" w:eastAsiaTheme="minorEastAsia" w:hAnsiTheme="minorHAnsi" w:cstheme="minorBidi"/>
          <w:noProof/>
          <w:sz w:val="22"/>
        </w:rPr>
      </w:pPr>
      <w:r>
        <w:rPr>
          <w:noProof/>
        </w:rPr>
        <w:t>We are allowed to fulfill the requirement through private reserves</w:t>
      </w:r>
      <w:r>
        <w:rPr>
          <w:noProof/>
        </w:rPr>
        <w:tab/>
      </w:r>
      <w:r>
        <w:rPr>
          <w:noProof/>
        </w:rPr>
        <w:fldChar w:fldCharType="begin"/>
      </w:r>
      <w:r>
        <w:rPr>
          <w:noProof/>
        </w:rPr>
        <w:instrText xml:space="preserve"> PAGEREF _Toc22383974 \h </w:instrText>
      </w:r>
      <w:r>
        <w:rPr>
          <w:noProof/>
        </w:rPr>
      </w:r>
      <w:r>
        <w:rPr>
          <w:noProof/>
        </w:rPr>
        <w:fldChar w:fldCharType="separate"/>
      </w:r>
      <w:r>
        <w:rPr>
          <w:noProof/>
        </w:rPr>
        <w:t>17</w:t>
      </w:r>
      <w:r>
        <w:rPr>
          <w:noProof/>
        </w:rPr>
        <w:fldChar w:fldCharType="end"/>
      </w:r>
    </w:p>
    <w:p w14:paraId="67E6C980" w14:textId="11618313" w:rsidR="004A480E" w:rsidRDefault="004A480E">
      <w:pPr>
        <w:pStyle w:val="TOC3"/>
        <w:rPr>
          <w:rFonts w:asciiTheme="minorHAnsi" w:eastAsiaTheme="minorEastAsia" w:hAnsiTheme="minorHAnsi" w:cstheme="minorBidi"/>
          <w:noProof/>
          <w:sz w:val="22"/>
        </w:rPr>
      </w:pPr>
      <w:r>
        <w:rPr>
          <w:noProof/>
        </w:rPr>
        <w:t>We have far more private reserves than in the SPR, so we should sell off the SPR</w:t>
      </w:r>
      <w:r>
        <w:rPr>
          <w:noProof/>
        </w:rPr>
        <w:tab/>
      </w:r>
      <w:r>
        <w:rPr>
          <w:noProof/>
        </w:rPr>
        <w:fldChar w:fldCharType="begin"/>
      </w:r>
      <w:r>
        <w:rPr>
          <w:noProof/>
        </w:rPr>
        <w:instrText xml:space="preserve"> PAGEREF _Toc22383975 \h </w:instrText>
      </w:r>
      <w:r>
        <w:rPr>
          <w:noProof/>
        </w:rPr>
      </w:r>
      <w:r>
        <w:rPr>
          <w:noProof/>
        </w:rPr>
        <w:fldChar w:fldCharType="separate"/>
      </w:r>
      <w:r>
        <w:rPr>
          <w:noProof/>
        </w:rPr>
        <w:t>17</w:t>
      </w:r>
      <w:r>
        <w:rPr>
          <w:noProof/>
        </w:rPr>
        <w:fldChar w:fldCharType="end"/>
      </w:r>
    </w:p>
    <w:p w14:paraId="1BCD3128" w14:textId="7DAEBC9E" w:rsidR="004A480E" w:rsidRDefault="004A480E">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_Toc22383976 \h </w:instrText>
      </w:r>
      <w:r>
        <w:rPr>
          <w:noProof/>
        </w:rPr>
      </w:r>
      <w:r>
        <w:rPr>
          <w:noProof/>
        </w:rPr>
        <w:fldChar w:fldCharType="separate"/>
      </w:r>
      <w:r>
        <w:rPr>
          <w:noProof/>
        </w:rPr>
        <w:t>18</w:t>
      </w:r>
      <w:r>
        <w:rPr>
          <w:noProof/>
        </w:rPr>
        <w:fldChar w:fldCharType="end"/>
      </w:r>
    </w:p>
    <w:p w14:paraId="7C2FD3C1" w14:textId="6021F8A9" w:rsidR="00B64449" w:rsidRDefault="00DA2F2D" w:rsidP="00746FA6">
      <w:pPr>
        <w:pStyle w:val="Title2"/>
      </w:pPr>
      <w:r>
        <w:rPr>
          <w:sz w:val="22"/>
        </w:rPr>
        <w:lastRenderedPageBreak/>
        <w:fldChar w:fldCharType="end"/>
      </w:r>
      <w:bookmarkStart w:id="0" w:name="_Toc22383902"/>
      <w:r w:rsidR="00746FA6">
        <w:t>Affirmative</w:t>
      </w:r>
      <w:r w:rsidR="00EE1E8E">
        <w:t>:</w:t>
      </w:r>
      <w:r w:rsidR="00746FA6">
        <w:t xml:space="preserve"> </w:t>
      </w:r>
      <w:r w:rsidR="006A399D">
        <w:t>Abolish the Strategic Petroleum Reserve</w:t>
      </w:r>
      <w:bookmarkEnd w:id="0"/>
    </w:p>
    <w:p w14:paraId="51DB8946" w14:textId="1179A3E0" w:rsidR="00B64449" w:rsidRPr="00EF40C4" w:rsidRDefault="008000F6" w:rsidP="00B64449">
      <w:pPr>
        <w:pStyle w:val="Constructive"/>
      </w:pPr>
      <w:r>
        <w:t xml:space="preserve">Our government has massive amounts of oil stored in a strategic petroleum reserve. </w:t>
      </w:r>
      <w:r w:rsidR="00BB6F9D">
        <w:t xml:space="preserve">But </w:t>
      </w:r>
      <w:r w:rsidR="00D54BD0">
        <w:t>this reserve i</w:t>
      </w:r>
      <w:r>
        <w:t>s unnecessary, ineffective, dangerous, and expensive.</w:t>
      </w:r>
      <w:r w:rsidR="00723C19">
        <w:t xml:space="preserve"> </w:t>
      </w:r>
      <w:r w:rsidR="00BB6F9D">
        <w:t>Please join us as we affirm that</w:t>
      </w:r>
      <w:r w:rsidR="00B64449" w:rsidRPr="00ED7398">
        <w:t>: The United States Federal Government should significantly reform its energy policy.</w:t>
      </w:r>
    </w:p>
    <w:p w14:paraId="6E2E2D80" w14:textId="3649E22D" w:rsidR="00B64449" w:rsidRDefault="00B64449" w:rsidP="00B64449">
      <w:pPr>
        <w:pStyle w:val="Contention1"/>
        <w:spacing w:after="120"/>
        <w:outlineLvl w:val="0"/>
      </w:pPr>
      <w:bookmarkStart w:id="1" w:name="_Toc13054750"/>
      <w:bookmarkStart w:id="2" w:name="_Toc22383903"/>
      <w:bookmarkStart w:id="3" w:name="_Toc489643395"/>
      <w:bookmarkStart w:id="4" w:name="_Toc490574600"/>
      <w:r>
        <w:t xml:space="preserve">OBSERVATION 1: Definitions. We present </w:t>
      </w:r>
      <w:r w:rsidR="007934E6">
        <w:t>two</w:t>
      </w:r>
      <w:r>
        <w:t xml:space="preserve"> term</w:t>
      </w:r>
      <w:r w:rsidR="007934E6">
        <w:t>s</w:t>
      </w:r>
      <w:r>
        <w:t xml:space="preserve"> that </w:t>
      </w:r>
      <w:r w:rsidR="007934E6">
        <w:t>are</w:t>
      </w:r>
      <w:r>
        <w:t xml:space="preserve"> key to this debate round:</w:t>
      </w:r>
      <w:bookmarkEnd w:id="1"/>
      <w:bookmarkEnd w:id="2"/>
    </w:p>
    <w:p w14:paraId="15A9CC7A" w14:textId="72185547" w:rsidR="00745DC2" w:rsidRDefault="00745DC2" w:rsidP="00D00337">
      <w:pPr>
        <w:pStyle w:val="Contention2"/>
      </w:pPr>
      <w:bookmarkStart w:id="5" w:name="_Toc22383904"/>
      <w:r>
        <w:t>Energy Policy</w:t>
      </w:r>
      <w:bookmarkEnd w:id="5"/>
      <w:r>
        <w:t xml:space="preserve"> </w:t>
      </w:r>
    </w:p>
    <w:p w14:paraId="533BD597" w14:textId="6E5E57C3" w:rsidR="00745DC2" w:rsidRPr="00745DC2" w:rsidRDefault="00745DC2" w:rsidP="00745DC2">
      <w:pPr>
        <w:pStyle w:val="Citation3"/>
      </w:pPr>
      <w:bookmarkStart w:id="6" w:name="_Toc14111891"/>
      <w:bookmarkStart w:id="7" w:name="_Toc14179376"/>
      <w:bookmarkStart w:id="8" w:name="_Toc22488158"/>
      <w:r>
        <w:rPr>
          <w:u w:val="single"/>
        </w:rPr>
        <w:t>T</w:t>
      </w:r>
      <w:r w:rsidRPr="00745DC2">
        <w:rPr>
          <w:u w:val="single"/>
        </w:rPr>
        <w:t>he Environmental Encyclopedia</w:t>
      </w:r>
      <w:r w:rsidRPr="00745DC2">
        <w:t xml:space="preserve">, </w:t>
      </w:r>
      <w:r w:rsidRPr="00745DC2">
        <w:rPr>
          <w:u w:val="single"/>
        </w:rPr>
        <w:t>2003</w:t>
      </w:r>
      <w:r w:rsidRPr="00745DC2">
        <w:rPr>
          <w:iCs/>
        </w:rPr>
        <w:t xml:space="preserve"> “Energy Policy” </w:t>
      </w:r>
      <w:hyperlink r:id="rId8" w:history="1">
        <w:r w:rsidRPr="00745DC2">
          <w:rPr>
            <w:rStyle w:val="Hyperlink"/>
            <w:iCs/>
            <w:lang w:eastAsia="fr-FR"/>
          </w:rPr>
          <w:t>https://www.encyclopedia.com/environment/encyclopedias-almanacs-transcripts-and-maps/energy-policy</w:t>
        </w:r>
        <w:bookmarkEnd w:id="6"/>
        <w:bookmarkEnd w:id="7"/>
        <w:bookmarkEnd w:id="8"/>
      </w:hyperlink>
    </w:p>
    <w:p w14:paraId="686B2932" w14:textId="59B8078D" w:rsidR="00745DC2" w:rsidRDefault="00745DC2" w:rsidP="00745DC2">
      <w:pPr>
        <w:pStyle w:val="Evidence"/>
      </w:pPr>
      <w:r w:rsidRPr="00745DC2">
        <w:t>“Energy policies are the actions governments take to affect the demand for energy as well as the supply of it. These actions include the ways in which governments cope with energy supply disruptions and their efforts to influence energy consumption and economic growth.”</w:t>
      </w:r>
    </w:p>
    <w:p w14:paraId="2E796779" w14:textId="57BF8AD9" w:rsidR="007934E6" w:rsidRDefault="00D00337" w:rsidP="00D00337">
      <w:pPr>
        <w:pStyle w:val="Contention2"/>
      </w:pPr>
      <w:bookmarkStart w:id="9" w:name="_Toc22383905"/>
      <w:r>
        <w:t xml:space="preserve">The Strategic Petroleum Reserve or </w:t>
      </w:r>
      <w:r w:rsidR="00BB6F9D">
        <w:t>“</w:t>
      </w:r>
      <w:r>
        <w:t>SPR</w:t>
      </w:r>
      <w:r w:rsidR="00BB6F9D">
        <w:t>”</w:t>
      </w:r>
      <w:bookmarkEnd w:id="9"/>
      <w:r w:rsidR="00BB6F9D">
        <w:t xml:space="preserve"> </w:t>
      </w:r>
    </w:p>
    <w:p w14:paraId="3BB40AEB" w14:textId="04FD2140" w:rsidR="00D00337" w:rsidRPr="00D00337" w:rsidRDefault="00D00337" w:rsidP="00D00337">
      <w:pPr>
        <w:pStyle w:val="Citation3"/>
      </w:pPr>
      <w:bookmarkStart w:id="10" w:name="_Toc14106035"/>
      <w:bookmarkStart w:id="11" w:name="_Toc14111892"/>
      <w:bookmarkStart w:id="12" w:name="_Toc14179377"/>
      <w:bookmarkStart w:id="13" w:name="_Toc22488159"/>
      <w:r w:rsidRPr="00D00337">
        <w:rPr>
          <w:u w:val="single"/>
        </w:rPr>
        <w:t>Kimberly Amadeo</w:t>
      </w:r>
      <w:r>
        <w:rPr>
          <w:u w:val="single"/>
        </w:rPr>
        <w:t xml:space="preserve"> 2019 </w:t>
      </w:r>
      <w:r>
        <w:t>(</w:t>
      </w:r>
      <w:r w:rsidRPr="00D00337">
        <w:t>president of </w:t>
      </w:r>
      <w:proofErr w:type="spellStart"/>
      <w:r w:rsidRPr="00D00337">
        <w:t>WorldMoneyWatch</w:t>
      </w:r>
      <w:proofErr w:type="spellEnd"/>
      <w:r w:rsidRPr="00D00337">
        <w:t>.</w:t>
      </w:r>
      <w:r>
        <w:t xml:space="preserve"> H</w:t>
      </w:r>
      <w:r w:rsidRPr="00D00337">
        <w:t>as 20 years senior-level corporate experience in economic analysis and business strategy</w:t>
      </w:r>
      <w:r>
        <w:t>)13 June 2019 “</w:t>
      </w:r>
      <w:r w:rsidRPr="00D00337">
        <w:t>Strategic Petroleum Reserve</w:t>
      </w:r>
      <w:r>
        <w:t xml:space="preserve">” </w:t>
      </w:r>
      <w:hyperlink r:id="rId9" w:history="1">
        <w:r w:rsidRPr="00D00337">
          <w:rPr>
            <w:rStyle w:val="Hyperlink"/>
          </w:rPr>
          <w:t>https://www.thebalance.com/strategic-petroleum-reserve-3306208</w:t>
        </w:r>
        <w:bookmarkEnd w:id="10"/>
        <w:bookmarkEnd w:id="11"/>
        <w:bookmarkEnd w:id="12"/>
        <w:bookmarkEnd w:id="13"/>
      </w:hyperlink>
    </w:p>
    <w:p w14:paraId="38FD84C5" w14:textId="5AE459D8" w:rsidR="00B64449" w:rsidRDefault="007934E6" w:rsidP="007934E6">
      <w:pPr>
        <w:pStyle w:val="Evidence"/>
      </w:pPr>
      <w:r w:rsidRPr="00BB6F9D">
        <w:rPr>
          <w:u w:val="single"/>
        </w:rPr>
        <w:t>The Strategic Petroleum Reserve is an emergency stockpile of oil. The U.S. Department of Energy stores it for use in a crisis. The SPR was created in 1973 in response to the OPEC oil embargo.</w:t>
      </w:r>
      <w:r w:rsidRPr="007934E6">
        <w:t xml:space="preserve"> Some in Congress question whether it is still necessary.</w:t>
      </w:r>
    </w:p>
    <w:p w14:paraId="70DB5341" w14:textId="09A43157" w:rsidR="00B64449" w:rsidRDefault="00AB7B3E" w:rsidP="00B64449">
      <w:pPr>
        <w:pStyle w:val="Contention1"/>
        <w:spacing w:after="120"/>
        <w:outlineLvl w:val="0"/>
        <w:rPr>
          <w:color w:val="000000" w:themeColor="text1"/>
        </w:rPr>
      </w:pPr>
      <w:bookmarkStart w:id="14" w:name="_Toc13054752"/>
      <w:bookmarkStart w:id="15" w:name="_Toc22383906"/>
      <w:r>
        <w:t>OBSERVATION 2</w:t>
      </w:r>
      <w:r w:rsidR="00B64449" w:rsidRPr="006549D2">
        <w:t xml:space="preserve">. </w:t>
      </w:r>
      <w:bookmarkEnd w:id="3"/>
      <w:bookmarkEnd w:id="4"/>
      <w:r w:rsidR="00AE792C">
        <w:rPr>
          <w:color w:val="000000" w:themeColor="text1"/>
        </w:rPr>
        <w:t>H</w:t>
      </w:r>
      <w:bookmarkEnd w:id="14"/>
      <w:r w:rsidR="008B19E3">
        <w:rPr>
          <w:color w:val="000000" w:themeColor="text1"/>
        </w:rPr>
        <w:t>ARMS</w:t>
      </w:r>
      <w:bookmarkEnd w:id="15"/>
    </w:p>
    <w:p w14:paraId="2915E5B7" w14:textId="7CD22185" w:rsidR="00B64449" w:rsidRDefault="008B19E3" w:rsidP="008B19E3">
      <w:pPr>
        <w:pStyle w:val="Contention1"/>
      </w:pPr>
      <w:bookmarkStart w:id="16" w:name="_Toc22383907"/>
      <w:r>
        <w:t>HARM 1.</w:t>
      </w:r>
      <w:r w:rsidR="00723C19">
        <w:t xml:space="preserve"> </w:t>
      </w:r>
      <w:r w:rsidR="00DB1E89">
        <w:t>Poisonous Gas</w:t>
      </w:r>
      <w:bookmarkEnd w:id="16"/>
    </w:p>
    <w:p w14:paraId="29CFE50C" w14:textId="4609452C" w:rsidR="00DB1E89" w:rsidRPr="008B19E3" w:rsidRDefault="008B19E3" w:rsidP="008B19E3">
      <w:pPr>
        <w:pStyle w:val="Contention2"/>
      </w:pPr>
      <w:bookmarkStart w:id="17" w:name="_Toc22383908"/>
      <w:r w:rsidRPr="008B19E3">
        <w:t>A.</w:t>
      </w:r>
      <w:r w:rsidR="00723C19">
        <w:t xml:space="preserve"> </w:t>
      </w:r>
      <w:r w:rsidRPr="008B19E3">
        <w:t>The</w:t>
      </w:r>
      <w:r w:rsidR="00DB1E89" w:rsidRPr="008B19E3">
        <w:t xml:space="preserve"> SPR </w:t>
      </w:r>
      <w:r w:rsidRPr="008B19E3">
        <w:t>is tainted with poisonous gas</w:t>
      </w:r>
      <w:bookmarkEnd w:id="17"/>
    </w:p>
    <w:p w14:paraId="2792CE0F" w14:textId="3EDC500F" w:rsidR="00DB1E89" w:rsidRPr="00DB1E89" w:rsidRDefault="00DB1E89" w:rsidP="00DB1E89">
      <w:pPr>
        <w:pStyle w:val="Citation3"/>
      </w:pPr>
      <w:bookmarkStart w:id="18" w:name="_Toc14023342"/>
      <w:bookmarkStart w:id="19" w:name="_Toc14092253"/>
      <w:bookmarkStart w:id="20" w:name="_Toc14093382"/>
      <w:bookmarkStart w:id="21" w:name="_Toc14094555"/>
      <w:bookmarkStart w:id="22" w:name="_Toc14095582"/>
      <w:bookmarkStart w:id="23" w:name="_Toc14106040"/>
      <w:bookmarkStart w:id="24" w:name="_Toc14111893"/>
      <w:bookmarkStart w:id="25" w:name="_Toc14179378"/>
      <w:bookmarkStart w:id="26" w:name="_Toc22488160"/>
      <w:r w:rsidRPr="00DB1E89">
        <w:rPr>
          <w:u w:val="single"/>
        </w:rPr>
        <w:t>Catherine Ngai 2019</w:t>
      </w:r>
      <w:r w:rsidRPr="00DB1E89">
        <w:t xml:space="preserve"> (Energy markets reporter at Bloomberg) 15 April 2019 “Contaminated Oil Linked to U.S. Reserves Raises Safety Concerns” </w:t>
      </w:r>
      <w:bookmarkEnd w:id="18"/>
      <w:bookmarkEnd w:id="19"/>
      <w:bookmarkEnd w:id="20"/>
      <w:bookmarkEnd w:id="21"/>
      <w:bookmarkEnd w:id="22"/>
      <w:bookmarkEnd w:id="23"/>
      <w:bookmarkEnd w:id="24"/>
      <w:bookmarkEnd w:id="25"/>
      <w:r w:rsidR="00723C19">
        <w:rPr>
          <w:u w:color="7F7F7F"/>
        </w:rPr>
        <w:fldChar w:fldCharType="begin"/>
      </w:r>
      <w:r w:rsidR="00723C19">
        <w:rPr>
          <w:u w:color="7F7F7F"/>
        </w:rPr>
        <w:instrText xml:space="preserve"> HYPERLINK "</w:instrText>
      </w:r>
      <w:r w:rsidR="00723C19" w:rsidRPr="00723C19">
        <w:rPr>
          <w:u w:color="7F7F7F"/>
        </w:rPr>
        <w:instrText>https://www.insurancejournal.com/news/national/2019/04/15/523778.htm</w:instrText>
      </w:r>
      <w:r w:rsidR="00723C19">
        <w:rPr>
          <w:rStyle w:val="Hyperlink"/>
          <w:color w:val="auto"/>
          <w:u w:val="none"/>
        </w:rPr>
        <w:instrText>l</w:instrText>
      </w:r>
      <w:r w:rsidR="00723C19">
        <w:rPr>
          <w:u w:color="7F7F7F"/>
        </w:rPr>
        <w:instrText xml:space="preserve">" </w:instrText>
      </w:r>
      <w:r w:rsidR="00723C19">
        <w:rPr>
          <w:u w:color="7F7F7F"/>
        </w:rPr>
        <w:fldChar w:fldCharType="separate"/>
      </w:r>
      <w:r w:rsidR="00723C19" w:rsidRPr="001C3AE0">
        <w:rPr>
          <w:rStyle w:val="Hyperlink"/>
        </w:rPr>
        <w:t>https://www.insurancejournal.com/news/national/2019/04/15/523778.html</w:t>
      </w:r>
      <w:bookmarkEnd w:id="26"/>
      <w:r w:rsidR="00723C19">
        <w:rPr>
          <w:u w:color="7F7F7F"/>
        </w:rPr>
        <w:fldChar w:fldCharType="end"/>
      </w:r>
      <w:r w:rsidR="00723C19">
        <w:rPr>
          <w:rStyle w:val="Hyperlink"/>
          <w:color w:val="auto"/>
          <w:u w:val="none"/>
        </w:rPr>
        <w:t xml:space="preserve">  </w:t>
      </w:r>
    </w:p>
    <w:p w14:paraId="3462790A" w14:textId="686C28F8" w:rsidR="00DB1E89" w:rsidRDefault="00DB1E89" w:rsidP="00DB1E89">
      <w:pPr>
        <w:pStyle w:val="Evidence"/>
        <w:rPr>
          <w:u w:val="single"/>
        </w:rPr>
      </w:pPr>
      <w:r w:rsidRPr="00DB1E89">
        <w:rPr>
          <w:u w:val="single"/>
        </w:rPr>
        <w:t>Exxon Mobil</w:t>
      </w:r>
      <w:r w:rsidRPr="00DB1E89">
        <w:t xml:space="preserve"> Corp. </w:t>
      </w:r>
      <w:r w:rsidRPr="00DB1E89">
        <w:rPr>
          <w:u w:val="single"/>
        </w:rPr>
        <w:t>is the latest company to raise concerns that a stockpile of U.S. government crude is tainted with poisonous gas</w:t>
      </w:r>
      <w:r w:rsidRPr="00DB1E89">
        <w:t xml:space="preserve">. </w:t>
      </w:r>
      <w:r w:rsidRPr="00DB1E89">
        <w:rPr>
          <w:u w:val="single"/>
        </w:rPr>
        <w:t xml:space="preserve">The American energy giant said some of the oil it purchased last year from the Energy Department’s Strategic Petroleum Reserve, </w:t>
      </w:r>
      <w:r w:rsidRPr="00DB1E89">
        <w:t xml:space="preserve">or SPR, </w:t>
      </w:r>
      <w:r w:rsidRPr="00DB1E89">
        <w:rPr>
          <w:u w:val="single"/>
        </w:rPr>
        <w:t>contained “extremely high levels” of hydrogen sulfide,</w:t>
      </w:r>
      <w:r w:rsidRPr="00DB1E89">
        <w:t xml:space="preserve"> according to emails obtained by Bloomberg under the Freedom of Information Act. </w:t>
      </w:r>
      <w:r w:rsidRPr="00DB1E89">
        <w:rPr>
          <w:u w:val="single"/>
        </w:rPr>
        <w:t>In some cases, the gas level was 250 times higher than government safety standards allow.</w:t>
      </w:r>
    </w:p>
    <w:p w14:paraId="5707139A" w14:textId="3D853801" w:rsidR="00697332" w:rsidRPr="008B19E3" w:rsidRDefault="008B19E3" w:rsidP="008B19E3">
      <w:pPr>
        <w:pStyle w:val="Contention2"/>
      </w:pPr>
      <w:bookmarkStart w:id="27" w:name="_Toc22383909"/>
      <w:r w:rsidRPr="008B19E3">
        <w:t>B.</w:t>
      </w:r>
      <w:r w:rsidR="00723C19">
        <w:t xml:space="preserve"> </w:t>
      </w:r>
      <w:r w:rsidR="00697332" w:rsidRPr="008B19E3">
        <w:t>The concentration of poison gas</w:t>
      </w:r>
      <w:r>
        <w:t xml:space="preserve"> “H2S” – hydrogen sulfide -</w:t>
      </w:r>
      <w:r w:rsidR="00723C19">
        <w:t xml:space="preserve"> </w:t>
      </w:r>
      <w:r w:rsidR="00697332" w:rsidRPr="008B19E3">
        <w:t>is enough to kill someone nearly instantly</w:t>
      </w:r>
      <w:bookmarkEnd w:id="27"/>
    </w:p>
    <w:p w14:paraId="4587CC78" w14:textId="1D6AA5C0" w:rsidR="00697332" w:rsidRPr="00697332" w:rsidRDefault="00697332" w:rsidP="00697332">
      <w:pPr>
        <w:pStyle w:val="Citation3"/>
      </w:pPr>
      <w:bookmarkStart w:id="28" w:name="_Toc14106045"/>
      <w:bookmarkStart w:id="29" w:name="_Toc14111894"/>
      <w:bookmarkStart w:id="30" w:name="_Toc14179379"/>
      <w:bookmarkStart w:id="31" w:name="_Toc22488161"/>
      <w:r w:rsidRPr="00697332">
        <w:rPr>
          <w:u w:val="single"/>
        </w:rPr>
        <w:t xml:space="preserve">David Grossman 2018 </w:t>
      </w:r>
      <w:r w:rsidRPr="00697332">
        <w:t>(staff writer for PopularMechanics.com) 29 March 2018“The US Sold Contaminated Crude Oil From Its Strategic Reserve—Report”</w:t>
      </w:r>
      <w:r w:rsidR="00723C19">
        <w:t xml:space="preserve"> </w:t>
      </w:r>
      <w:hyperlink r:id="rId10" w:history="1">
        <w:r w:rsidRPr="00697332">
          <w:rPr>
            <w:rStyle w:val="Hyperlink"/>
            <w:color w:val="auto"/>
          </w:rPr>
          <w:t>https://www.popularmechanics.com/technology/infrastructure/a19634690/us-poisoned-crude-oil/</w:t>
        </w:r>
        <w:bookmarkEnd w:id="28"/>
        <w:bookmarkEnd w:id="29"/>
        <w:bookmarkEnd w:id="30"/>
        <w:bookmarkEnd w:id="31"/>
      </w:hyperlink>
    </w:p>
    <w:p w14:paraId="77EB854C" w14:textId="11FB235D" w:rsidR="00697332" w:rsidRDefault="00697332" w:rsidP="00697332">
      <w:pPr>
        <w:pStyle w:val="Evidence"/>
        <w:rPr>
          <w:color w:val="auto"/>
          <w:u w:val="single"/>
        </w:rPr>
      </w:pPr>
      <w:r w:rsidRPr="00697332">
        <w:rPr>
          <w:color w:val="auto"/>
          <w:u w:val="single"/>
        </w:rPr>
        <w:t xml:space="preserve">When a </w:t>
      </w:r>
      <w:proofErr w:type="gramStart"/>
      <w:r w:rsidRPr="00697332">
        <w:rPr>
          <w:color w:val="auto"/>
          <w:u w:val="single"/>
        </w:rPr>
        <w:t>third party</w:t>
      </w:r>
      <w:proofErr w:type="gramEnd"/>
      <w:r w:rsidRPr="00697332">
        <w:rPr>
          <w:color w:val="auto"/>
          <w:u w:val="single"/>
        </w:rPr>
        <w:t xml:space="preserve"> inspection group known as Inspectorate tested a sample from the SPR cargo purchased by the Australian Macquarie</w:t>
      </w:r>
      <w:r w:rsidRPr="00697332">
        <w:rPr>
          <w:color w:val="auto"/>
        </w:rPr>
        <w:t xml:space="preserve"> to be then sold to PetroChina, similar problems occurred. According to the Reuters-obtained documents, </w:t>
      </w:r>
      <w:r w:rsidRPr="00697332">
        <w:rPr>
          <w:color w:val="auto"/>
          <w:u w:val="single"/>
        </w:rPr>
        <w:t>H2S levels of up to 9,000 parts per million</w:t>
      </w:r>
      <w:r w:rsidRPr="00697332">
        <w:rPr>
          <w:color w:val="auto"/>
        </w:rPr>
        <w:t xml:space="preserve"> (ppm) </w:t>
      </w:r>
      <w:r w:rsidRPr="00697332">
        <w:rPr>
          <w:color w:val="auto"/>
          <w:u w:val="single"/>
        </w:rPr>
        <w:t>appeared. OSHA's warnings about H2S end at 2,000 ppm, where nearly instant death occurs. A terminal operator refused to allow workers to perform any additional tests out of concern about violating safety regulations.</w:t>
      </w:r>
    </w:p>
    <w:p w14:paraId="08D0FE4A" w14:textId="39AB323D" w:rsidR="00697332" w:rsidRDefault="008B19E3" w:rsidP="00697332">
      <w:pPr>
        <w:pStyle w:val="Contention2"/>
      </w:pPr>
      <w:bookmarkStart w:id="32" w:name="_Toc22383910"/>
      <w:r>
        <w:lastRenderedPageBreak/>
        <w:t>C.</w:t>
      </w:r>
      <w:r w:rsidR="00723C19">
        <w:t xml:space="preserve"> </w:t>
      </w:r>
      <w:r>
        <w:t>Reduced effectiveness.</w:t>
      </w:r>
      <w:r w:rsidR="00723C19">
        <w:t xml:space="preserve"> </w:t>
      </w:r>
      <w:r>
        <w:t xml:space="preserve">In addition to potentially killing people, </w:t>
      </w:r>
      <w:r w:rsidR="00697332">
        <w:t>the SPR would be less useful during an oil shortage because we would have to spend time and money cleaning the petroleum</w:t>
      </w:r>
      <w:bookmarkEnd w:id="32"/>
    </w:p>
    <w:p w14:paraId="54B81D78" w14:textId="24F82252" w:rsidR="00697332" w:rsidRPr="00697332" w:rsidRDefault="00697332" w:rsidP="00697332">
      <w:pPr>
        <w:pStyle w:val="Citation3"/>
      </w:pPr>
      <w:bookmarkStart w:id="33" w:name="_Toc14106048"/>
      <w:bookmarkStart w:id="34" w:name="_Toc14111895"/>
      <w:bookmarkStart w:id="35" w:name="_Toc14179380"/>
      <w:bookmarkStart w:id="36" w:name="_Toc22488162"/>
      <w:r w:rsidRPr="00697332">
        <w:rPr>
          <w:u w:val="single"/>
        </w:rPr>
        <w:t xml:space="preserve">Catherine Ngai 2018 </w:t>
      </w:r>
      <w:r w:rsidRPr="00697332">
        <w:t xml:space="preserve">(Energy markets reporter at Bloomberg; former energy markets reporter and Reuters) 29 March 2018 “Exclusive: Firms complain of contaminated crude from U.S. reserve” </w:t>
      </w:r>
      <w:hyperlink r:id="rId11" w:history="1">
        <w:r w:rsidRPr="00697332">
          <w:rPr>
            <w:rStyle w:val="Hyperlink"/>
            <w:color w:val="auto"/>
          </w:rPr>
          <w:t>https://www.reuters.com/article/us-usa-oil-contamination-exclusive/exclusive-firms-complain-of-contaminated-crude-from-u-s-reserve-idUSKBN1H50GI</w:t>
        </w:r>
        <w:bookmarkEnd w:id="33"/>
        <w:bookmarkEnd w:id="34"/>
        <w:bookmarkEnd w:id="35"/>
        <w:bookmarkEnd w:id="36"/>
      </w:hyperlink>
      <w:r w:rsidR="00723C19">
        <w:rPr>
          <w:rStyle w:val="Hyperlink"/>
          <w:color w:val="auto"/>
        </w:rPr>
        <w:t xml:space="preserve"> </w:t>
      </w:r>
    </w:p>
    <w:p w14:paraId="364F7476" w14:textId="77777777" w:rsidR="00697332" w:rsidRDefault="00697332" w:rsidP="00697332">
      <w:pPr>
        <w:pStyle w:val="Evidence"/>
        <w:rPr>
          <w:color w:val="auto"/>
        </w:rPr>
      </w:pPr>
      <w:r w:rsidRPr="00697332">
        <w:rPr>
          <w:color w:val="auto"/>
          <w:u w:val="single"/>
        </w:rPr>
        <w:t>Problems with crude quality would make the U.S. Strategic Petroleum Reserve (SPR) less useful in an emergency because refiners would need to spend time and money removing contamination before producing fuel</w:t>
      </w:r>
      <w:r w:rsidRPr="00697332">
        <w:rPr>
          <w:color w:val="auto"/>
        </w:rPr>
        <w:t>. The reserve is the world’s largest government stockpile, currently holding 665 million barrels.</w:t>
      </w:r>
    </w:p>
    <w:p w14:paraId="60E69437" w14:textId="2020980C" w:rsidR="00697332" w:rsidRPr="00697332" w:rsidRDefault="008B19E3" w:rsidP="008B19E3">
      <w:pPr>
        <w:pStyle w:val="Contention1"/>
        <w:ind w:left="144"/>
      </w:pPr>
      <w:bookmarkStart w:id="37" w:name="_Toc22383911"/>
      <w:r>
        <w:t>HARM 2.</w:t>
      </w:r>
      <w:r w:rsidR="00723C19">
        <w:t xml:space="preserve"> </w:t>
      </w:r>
      <w:r>
        <w:t>Ineffective oil emergency</w:t>
      </w:r>
      <w:r w:rsidR="00697332">
        <w:t xml:space="preserve"> response</w:t>
      </w:r>
      <w:bookmarkEnd w:id="37"/>
    </w:p>
    <w:p w14:paraId="422B799B" w14:textId="5EF80FD2" w:rsidR="00421CDB" w:rsidRDefault="008B19E3" w:rsidP="00421CDB">
      <w:pPr>
        <w:pStyle w:val="Contention2"/>
      </w:pPr>
      <w:bookmarkStart w:id="38" w:name="_Toc22383912"/>
      <w:r>
        <w:t>A.</w:t>
      </w:r>
      <w:r w:rsidR="00723C19">
        <w:t xml:space="preserve"> </w:t>
      </w:r>
      <w:r w:rsidR="00421CDB">
        <w:t xml:space="preserve">SPR limits </w:t>
      </w:r>
      <w:r>
        <w:t>the incentive for private companies to respond to oil shortages in the market</w:t>
      </w:r>
      <w:bookmarkEnd w:id="38"/>
    </w:p>
    <w:p w14:paraId="18E4F6B8" w14:textId="7608542C" w:rsidR="00421CDB" w:rsidRPr="00421CDB" w:rsidRDefault="00421CDB" w:rsidP="00421CDB">
      <w:pPr>
        <w:pStyle w:val="Citation3"/>
      </w:pPr>
      <w:bookmarkStart w:id="39" w:name="_Toc14106051"/>
      <w:bookmarkStart w:id="40" w:name="_Toc14111896"/>
      <w:bookmarkStart w:id="41" w:name="_Toc14179381"/>
      <w:bookmarkStart w:id="42" w:name="_Toc22488163"/>
      <w:r w:rsidRPr="00421CDB">
        <w:rPr>
          <w:u w:val="single"/>
        </w:rPr>
        <w:t>Steve Chapman 2017</w:t>
      </w:r>
      <w:r w:rsidRPr="00421CDB">
        <w:t xml:space="preserve"> (columnist and editorial writer for the Chicago Tribune) 26 May 2017 “Why selling off the oil reserve is a good idea” </w:t>
      </w:r>
      <w:hyperlink r:id="rId12" w:history="1">
        <w:r w:rsidR="00723C19" w:rsidRPr="001C3AE0">
          <w:rPr>
            <w:rStyle w:val="Hyperlink"/>
          </w:rPr>
          <w:t>https://www.chicagotribune.com/columns/steve-chapman/ct-strategic-petroleum-reserve-oil-chapman-perspec-0528-md-20170526-column.html</w:t>
        </w:r>
        <w:bookmarkEnd w:id="42"/>
      </w:hyperlink>
      <w:bookmarkEnd w:id="39"/>
      <w:bookmarkEnd w:id="40"/>
      <w:bookmarkEnd w:id="41"/>
      <w:r w:rsidR="00723C19">
        <w:rPr>
          <w:u w:color="7F7F7F"/>
        </w:rPr>
        <w:t xml:space="preserve"> </w:t>
      </w:r>
      <w:r w:rsidR="00723C19">
        <w:rPr>
          <w:rStyle w:val="Hyperlink"/>
          <w:color w:val="auto"/>
          <w:u w:val="none"/>
        </w:rPr>
        <w:t xml:space="preserve"> </w:t>
      </w:r>
    </w:p>
    <w:p w14:paraId="22D9A84B" w14:textId="57E7B3CB" w:rsidR="00421CDB" w:rsidRDefault="00421CDB" w:rsidP="00421CDB">
      <w:pPr>
        <w:pStyle w:val="Evidence"/>
      </w:pPr>
      <w:r w:rsidRPr="00421CDB">
        <w:t>If it made economic sense to put millions of barrels of oil aside for a possible emergency, we wouldn't need the Department of Energy to handle the job. Private companies would do it in hopes of selling high someday. As long as the federal government has the reserve, they have no incentive, since it could release its supplies to flood a tight market and erase their profits.</w:t>
      </w:r>
    </w:p>
    <w:p w14:paraId="459DA56C" w14:textId="2E463F44" w:rsidR="00564523" w:rsidRDefault="00564523" w:rsidP="00564523">
      <w:pPr>
        <w:pStyle w:val="Contention2"/>
      </w:pPr>
      <w:bookmarkStart w:id="43" w:name="_Toc22383913"/>
      <w:r>
        <w:t>B.</w:t>
      </w:r>
      <w:r w:rsidR="00723C19">
        <w:t xml:space="preserve"> </w:t>
      </w:r>
      <w:r>
        <w:t>Impact:</w:t>
      </w:r>
      <w:r w:rsidR="00723C19">
        <w:t xml:space="preserve"> </w:t>
      </w:r>
      <w:r>
        <w:t>Makes the problem SPR was supposed to solve, even worse.</w:t>
      </w:r>
      <w:r w:rsidR="00723C19">
        <w:t xml:space="preserve"> </w:t>
      </w:r>
      <w:r>
        <w:t>Oil price volatility hurts consumers and the entire economy</w:t>
      </w:r>
      <w:bookmarkEnd w:id="43"/>
    </w:p>
    <w:p w14:paraId="4BE00C81" w14:textId="5407AF8C" w:rsidR="00564523" w:rsidRPr="00FF7E27" w:rsidRDefault="00564523" w:rsidP="00564523">
      <w:pPr>
        <w:pStyle w:val="Citation3"/>
      </w:pPr>
      <w:bookmarkStart w:id="44" w:name="_Toc22488164"/>
      <w:r w:rsidRPr="00FF7E27">
        <w:rPr>
          <w:rStyle w:val="Emphasis"/>
          <w:i/>
          <w:iCs w:val="0"/>
          <w:u w:val="single"/>
        </w:rPr>
        <w:t xml:space="preserve">Prof. Jason </w:t>
      </w:r>
      <w:proofErr w:type="spellStart"/>
      <w:r w:rsidRPr="00FF7E27">
        <w:rPr>
          <w:rStyle w:val="Emphasis"/>
          <w:i/>
          <w:iCs w:val="0"/>
          <w:u w:val="single"/>
        </w:rPr>
        <w:t>Bordoff</w:t>
      </w:r>
      <w:proofErr w:type="spellEnd"/>
      <w:r w:rsidRPr="00FF7E27">
        <w:rPr>
          <w:rStyle w:val="Emphasis"/>
          <w:i/>
          <w:iCs w:val="0"/>
          <w:u w:val="single"/>
        </w:rPr>
        <w:t xml:space="preserve"> 2016</w:t>
      </w:r>
      <w:r w:rsidRPr="00FF7E27">
        <w:rPr>
          <w:rStyle w:val="Emphasis"/>
          <w:i/>
          <w:iCs w:val="0"/>
        </w:rPr>
        <w:t xml:space="preserve"> (professor of professional practice and founding director of the Center on Global Energy Policy at Columbia University’s School of International and Public Affairs) 15 June 2016 </w:t>
      </w:r>
      <w:r w:rsidRPr="00FF7E27">
        <w:t>The Strategic Petroleum Reserve: A Policy Response to Oil Price Volatility?</w:t>
      </w:r>
      <w:r w:rsidR="00723C19">
        <w:t xml:space="preserve"> </w:t>
      </w:r>
      <w:hyperlink r:id="rId13" w:history="1">
        <w:r w:rsidR="00723C19" w:rsidRPr="001C3AE0">
          <w:rPr>
            <w:rStyle w:val="Hyperlink"/>
          </w:rPr>
          <w:t>https://www.cfr.org/blog/strategic-petroleum-reserve-policy-response-oil-price-volatility</w:t>
        </w:r>
        <w:bookmarkEnd w:id="44"/>
      </w:hyperlink>
      <w:r w:rsidR="00723C19">
        <w:rPr>
          <w:u w:color="7F7F7F"/>
        </w:rPr>
        <w:t xml:space="preserve"> </w:t>
      </w:r>
      <w:r w:rsidR="00723C19">
        <w:rPr>
          <w:rStyle w:val="Hyperlink"/>
          <w:color w:val="auto"/>
          <w:u w:val="none"/>
        </w:rPr>
        <w:t xml:space="preserve"> </w:t>
      </w:r>
    </w:p>
    <w:p w14:paraId="6D4C9CC2" w14:textId="77777777" w:rsidR="00564523" w:rsidRPr="00FF7E27" w:rsidRDefault="00564523" w:rsidP="00564523">
      <w:pPr>
        <w:pStyle w:val="Evidence"/>
      </w:pPr>
      <w:r w:rsidRPr="00FF7E27">
        <w:t>Oil price volatility is harmful to the macro economy and to consumers, and it may be more likely moving forward than in the past because of changes in the behavior of oil producing countries and the emergence of U.S. shale as a short-cycle source of oil supply.</w:t>
      </w:r>
    </w:p>
    <w:p w14:paraId="273DF7E6" w14:textId="53F6DB48" w:rsidR="00421CDB" w:rsidRDefault="00E7259A" w:rsidP="00E7259A">
      <w:pPr>
        <w:pStyle w:val="Contention1"/>
      </w:pPr>
      <w:bookmarkStart w:id="45" w:name="_Toc22383914"/>
      <w:r>
        <w:t>HARM 3.</w:t>
      </w:r>
      <w:r w:rsidR="00723C19">
        <w:t xml:space="preserve"> </w:t>
      </w:r>
      <w:r w:rsidR="00421CDB" w:rsidRPr="00E7259A">
        <w:t>Wasted</w:t>
      </w:r>
      <w:r w:rsidR="00421CDB">
        <w:t xml:space="preserve"> taxpayer dollars</w:t>
      </w:r>
      <w:bookmarkEnd w:id="45"/>
    </w:p>
    <w:p w14:paraId="7DC78945" w14:textId="4520B8D7" w:rsidR="00421CDB" w:rsidRDefault="00FC35BA" w:rsidP="00421CDB">
      <w:pPr>
        <w:pStyle w:val="Contention2"/>
      </w:pPr>
      <w:bookmarkStart w:id="46" w:name="_Toc22383915"/>
      <w:bookmarkStart w:id="47" w:name="_Toc14106037"/>
      <w:bookmarkStart w:id="48" w:name="_Toc14000077"/>
      <w:bookmarkStart w:id="49" w:name="_Toc14023340"/>
      <w:bookmarkStart w:id="50" w:name="_Toc14092251"/>
      <w:bookmarkStart w:id="51" w:name="_Toc14093380"/>
      <w:bookmarkStart w:id="52" w:name="_Toc14094553"/>
      <w:bookmarkStart w:id="53" w:name="_Toc14095580"/>
      <w:r>
        <w:t>A.</w:t>
      </w:r>
      <w:r w:rsidR="00723C19">
        <w:t xml:space="preserve"> </w:t>
      </w:r>
      <w:r>
        <w:t>Bi</w:t>
      </w:r>
      <w:r w:rsidR="00E84804">
        <w:t>llions of dollars in</w:t>
      </w:r>
      <w:r>
        <w:t xml:space="preserve"> taxpayer costs</w:t>
      </w:r>
      <w:bookmarkEnd w:id="46"/>
    </w:p>
    <w:p w14:paraId="515D51A2" w14:textId="5C72189E" w:rsidR="00E84804" w:rsidRDefault="00317749" w:rsidP="00317749">
      <w:pPr>
        <w:pStyle w:val="Citation3"/>
      </w:pPr>
      <w:bookmarkStart w:id="54" w:name="_Toc22488165"/>
      <w:r w:rsidRPr="00317749">
        <w:rPr>
          <w:u w:val="single"/>
        </w:rPr>
        <w:t xml:space="preserve">Lawrence </w:t>
      </w:r>
      <w:proofErr w:type="spellStart"/>
      <w:r w:rsidRPr="00317749">
        <w:rPr>
          <w:u w:val="single"/>
        </w:rPr>
        <w:t>Haar</w:t>
      </w:r>
      <w:proofErr w:type="spellEnd"/>
      <w:r w:rsidRPr="00317749">
        <w:rPr>
          <w:u w:val="single"/>
        </w:rPr>
        <w:t xml:space="preserve"> 2019</w:t>
      </w:r>
      <w:r>
        <w:t xml:space="preserve"> (senior lecturer in banking and finance at Oxford Brookes University, Oxford, England) “Good Money after Bad?” Fall 2019 REGULATION </w:t>
      </w:r>
      <w:hyperlink r:id="rId14" w:history="1">
        <w:r>
          <w:rPr>
            <w:rStyle w:val="Hyperlink"/>
          </w:rPr>
          <w:t>https://www.cato.org/sites/cato.org/files/2019-09/regulation-v42n3-3.pdf</w:t>
        </w:r>
        <w:bookmarkEnd w:id="54"/>
      </w:hyperlink>
    </w:p>
    <w:p w14:paraId="1C2D7DF4" w14:textId="46DD95DA" w:rsidR="00E84804" w:rsidRDefault="00E84804" w:rsidP="00E84804">
      <w:pPr>
        <w:pStyle w:val="Evidence"/>
      </w:pPr>
      <w:r w:rsidRPr="00317749">
        <w:rPr>
          <w:u w:val="single"/>
        </w:rPr>
        <w:t>To date, about $5 billion has been spent on the SPR and over $20 billion in filling it with crude oil</w:t>
      </w:r>
      <w:r>
        <w:t>. Although the salt caverns that have been hollowed out in Louisiana and Texas for storage are literally and figuratively sunk costs, maintaining and managing the SPR has over time represented approximately 20% of its total cost. In addition, there is the opportunity cost of the money used to keep oil in the SPR as opposed to that money being in the bank or being used to reduce the national fiscal deficit. While the oil in the SPR has been acquired at different price levels, marking</w:t>
      </w:r>
      <w:r w:rsidR="00317749">
        <w:t>-</w:t>
      </w:r>
      <w:r>
        <w:t xml:space="preserve">to-market </w:t>
      </w:r>
      <w:r w:rsidRPr="00317749">
        <w:rPr>
          <w:u w:val="single"/>
        </w:rPr>
        <w:t>at today’s $60 per barrel price and assuming a cost of capital of 3% results in an opportunity cost exceeding $1.2 billion per annum for the SPR</w:t>
      </w:r>
      <w:r>
        <w:t>.</w:t>
      </w:r>
    </w:p>
    <w:p w14:paraId="7A7A577D" w14:textId="6C16076D" w:rsidR="00F46F9F" w:rsidRDefault="00FC35BA" w:rsidP="00F46F9F">
      <w:pPr>
        <w:pStyle w:val="Contention2"/>
      </w:pPr>
      <w:bookmarkStart w:id="55" w:name="_Toc22383916"/>
      <w:bookmarkEnd w:id="47"/>
      <w:bookmarkEnd w:id="48"/>
      <w:bookmarkEnd w:id="49"/>
      <w:bookmarkEnd w:id="50"/>
      <w:bookmarkEnd w:id="51"/>
      <w:bookmarkEnd w:id="52"/>
      <w:bookmarkEnd w:id="53"/>
      <w:r>
        <w:lastRenderedPageBreak/>
        <w:t>B.</w:t>
      </w:r>
      <w:r w:rsidR="00723C19">
        <w:t xml:space="preserve"> </w:t>
      </w:r>
      <w:r>
        <w:t>No benefit</w:t>
      </w:r>
      <w:r w:rsidR="00F46F9F">
        <w:t>.</w:t>
      </w:r>
      <w:r w:rsidR="00723C19">
        <w:t xml:space="preserve"> </w:t>
      </w:r>
      <w:r w:rsidR="00F46F9F">
        <w:t>SPR is useless because world ma</w:t>
      </w:r>
      <w:r w:rsidR="004A480E">
        <w:t>rket conditions have changed. S</w:t>
      </w:r>
      <w:r w:rsidR="00F46F9F">
        <w:t>upply disruptions are no longer a problem</w:t>
      </w:r>
      <w:bookmarkEnd w:id="55"/>
    </w:p>
    <w:p w14:paraId="427B5FE7" w14:textId="77777777" w:rsidR="00F46F9F" w:rsidRPr="00B46213" w:rsidRDefault="00F46F9F" w:rsidP="00F46F9F">
      <w:pPr>
        <w:pStyle w:val="Citation3"/>
      </w:pPr>
      <w:bookmarkStart w:id="56" w:name="_Toc22488166"/>
      <w:r>
        <w:rPr>
          <w:u w:val="single"/>
        </w:rPr>
        <w:t xml:space="preserve">Loren Steff, 2015 </w:t>
      </w:r>
      <w:r>
        <w:t>(</w:t>
      </w:r>
      <w:r w:rsidRPr="00B46213">
        <w:t>senior writer for 30 Point Strategies</w:t>
      </w:r>
      <w:r>
        <w:t>, author of two books on oil markets) 18 March 2015 “</w:t>
      </w:r>
      <w:r w:rsidRPr="00B46213">
        <w:t>Why the Strategic Petroleum Reserve Has Outlived Its Usefulness</w:t>
      </w:r>
      <w:r>
        <w:t xml:space="preserve">” </w:t>
      </w:r>
      <w:hyperlink r:id="rId15" w:anchor="273c9a513469" w:history="1">
        <w:r w:rsidRPr="00B46213">
          <w:rPr>
            <w:rStyle w:val="Hyperlink"/>
          </w:rPr>
          <w:t>https://www.forbes.com/sites/lorensteffy/2015/03/18/why-the-strategic-petroleum-reserve-has-outlived-its-usefulness/#273c9a513469</w:t>
        </w:r>
        <w:bookmarkEnd w:id="56"/>
      </w:hyperlink>
    </w:p>
    <w:p w14:paraId="30FFB190" w14:textId="121B06C0" w:rsidR="00F46F9F" w:rsidRDefault="00F46F9F" w:rsidP="00F46F9F">
      <w:pPr>
        <w:pStyle w:val="Evidence"/>
      </w:pPr>
      <w:r w:rsidRPr="00B46213">
        <w:t>The reserve was created in a different era. In the ensuing decades, more countries now produce oil — many of them outside of OPEC’s control. The market is more mature and better able to respond to supply disruptions. More important, though, in today’s oil economy, true supply shortages are rare.</w:t>
      </w:r>
    </w:p>
    <w:p w14:paraId="1F672784" w14:textId="4C376AEC" w:rsidR="00D32D64" w:rsidRDefault="00D32D64" w:rsidP="00B64449">
      <w:pPr>
        <w:pStyle w:val="Contention1"/>
      </w:pPr>
      <w:bookmarkStart w:id="57" w:name="_Toc22383917"/>
      <w:bookmarkStart w:id="58" w:name="_Toc486156345"/>
      <w:bookmarkStart w:id="59" w:name="_Toc13054755"/>
      <w:r>
        <w:t>HARM 4.</w:t>
      </w:r>
      <w:r w:rsidR="00723C19">
        <w:t xml:space="preserve"> </w:t>
      </w:r>
      <w:r>
        <w:t>Market Manipulation</w:t>
      </w:r>
      <w:bookmarkEnd w:id="57"/>
    </w:p>
    <w:p w14:paraId="5C52D0FE" w14:textId="7D7AACB4" w:rsidR="00D32D64" w:rsidRDefault="00B02C10" w:rsidP="00D32D64">
      <w:pPr>
        <w:pStyle w:val="Contention2"/>
      </w:pPr>
      <w:bookmarkStart w:id="60" w:name="_Toc22383918"/>
      <w:r>
        <w:t>A.</w:t>
      </w:r>
      <w:r w:rsidR="00723C19">
        <w:t xml:space="preserve"> </w:t>
      </w:r>
      <w:r>
        <w:t>SPR is used for political purposes</w:t>
      </w:r>
      <w:bookmarkEnd w:id="60"/>
      <w:r>
        <w:t xml:space="preserve"> </w:t>
      </w:r>
    </w:p>
    <w:p w14:paraId="2BCEE937" w14:textId="16120F2A" w:rsidR="00AB7B3E" w:rsidRDefault="00AB7B3E" w:rsidP="00AB7B3E">
      <w:pPr>
        <w:pStyle w:val="Citation3"/>
      </w:pPr>
      <w:bookmarkStart w:id="61" w:name="_Toc22488167"/>
      <w:r w:rsidRPr="006A399D">
        <w:rPr>
          <w:u w:val="single"/>
        </w:rPr>
        <w:t>Nicolas Loris,</w:t>
      </w:r>
      <w:r>
        <w:rPr>
          <w:u w:val="single"/>
        </w:rPr>
        <w:t xml:space="preserve"> </w:t>
      </w:r>
      <w:r w:rsidRPr="006A399D">
        <w:rPr>
          <w:u w:val="single"/>
        </w:rPr>
        <w:t>2015</w:t>
      </w:r>
      <w: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hyperlink r:id="rId16" w:history="1">
        <w:r w:rsidR="00723C19" w:rsidRPr="001C3AE0">
          <w:rPr>
            <w:rStyle w:val="Hyperlink"/>
          </w:rPr>
          <w:t>https://www.heritage.org/environment/report/why-congress-should-pull-the-plug-the-strategic-petroleum-reserve</w:t>
        </w:r>
        <w:bookmarkEnd w:id="61"/>
      </w:hyperlink>
      <w:r w:rsidR="00723C19">
        <w:t xml:space="preserve"> </w:t>
      </w:r>
    </w:p>
    <w:p w14:paraId="334E3CFD" w14:textId="5D60BA5A" w:rsidR="00AB7B3E" w:rsidRDefault="00AB7B3E" w:rsidP="00AB7B3E">
      <w:pPr>
        <w:pStyle w:val="Evidence"/>
      </w:pPr>
      <w:r w:rsidRPr="00AB7B3E">
        <w:rPr>
          <w:u w:val="single"/>
        </w:rPr>
        <w:t>In 2000, in the midst of an election year, the Clinton Administration used the SPR for political gain. As gas and home heating oil prices rose, Vice President Al Gore, running for President at the time, urged President Bill Clinton to draw down reserves in order to lower energy prices</w:t>
      </w:r>
      <w:r>
        <w:t>. Clinton’s own Treasury Secretary, Lawrence Summers, criticized the release, saying that the SPR should not be used to manipulate market prices and using the SPR to do so would “set a dangerous precedent.”</w:t>
      </w:r>
      <w:r>
        <w:rPr>
          <w:u w:color="7F7F7F"/>
        </w:rPr>
        <w:t xml:space="preserve"> </w:t>
      </w:r>
      <w:r w:rsidRPr="00AB7B3E">
        <w:rPr>
          <w:u w:val="single"/>
        </w:rPr>
        <w:t>President Obama’s</w:t>
      </w:r>
      <w:r>
        <w:t xml:space="preserve"> coordinated </w:t>
      </w:r>
      <w:r w:rsidRPr="00AB7B3E">
        <w:rPr>
          <w:u w:val="single"/>
        </w:rPr>
        <w:t>release</w:t>
      </w:r>
      <w:r>
        <w:t xml:space="preserve"> with the IEA </w:t>
      </w:r>
      <w:r w:rsidRPr="00AB7B3E">
        <w:rPr>
          <w:u w:val="single"/>
        </w:rPr>
        <w:t>in 2011 when Libyan oil was taken offline is another instance where releasing reserves from the SPR did not pass the rational or economic muster set by the conditions for drawdowns</w:t>
      </w:r>
      <w:r>
        <w:t>. </w:t>
      </w:r>
    </w:p>
    <w:p w14:paraId="5B4E902C" w14:textId="0F25A9CC" w:rsidR="00440AEA" w:rsidRDefault="00440AEA" w:rsidP="00D32D64">
      <w:pPr>
        <w:pStyle w:val="Contention2"/>
      </w:pPr>
      <w:bookmarkStart w:id="62" w:name="_Toc22383919"/>
      <w:r>
        <w:t>B.</w:t>
      </w:r>
      <w:r w:rsidR="00723C19">
        <w:t xml:space="preserve"> </w:t>
      </w:r>
      <w:r>
        <w:t>Impact:</w:t>
      </w:r>
      <w:r w:rsidR="00723C19">
        <w:t xml:space="preserve"> </w:t>
      </w:r>
      <w:r>
        <w:t>Makes oil shortages worse long-term.</w:t>
      </w:r>
      <w:r w:rsidR="00723C19">
        <w:t xml:space="preserve"> </w:t>
      </w:r>
      <w:r>
        <w:t>It blocks incentives for higher production and lower demand, prolonging shortages</w:t>
      </w:r>
      <w:bookmarkEnd w:id="62"/>
    </w:p>
    <w:p w14:paraId="28B22070" w14:textId="57901AC0" w:rsidR="003406D7" w:rsidRPr="00FF7E27" w:rsidRDefault="003406D7" w:rsidP="003406D7">
      <w:pPr>
        <w:pStyle w:val="Citation3"/>
      </w:pPr>
      <w:bookmarkStart w:id="63" w:name="_Toc22488168"/>
      <w:r w:rsidRPr="00FF7E27">
        <w:rPr>
          <w:rStyle w:val="Emphasis"/>
          <w:i/>
          <w:iCs w:val="0"/>
          <w:u w:val="single"/>
        </w:rPr>
        <w:t xml:space="preserve">Prof. Jason </w:t>
      </w:r>
      <w:proofErr w:type="spellStart"/>
      <w:r w:rsidRPr="00FF7E27">
        <w:rPr>
          <w:rStyle w:val="Emphasis"/>
          <w:i/>
          <w:iCs w:val="0"/>
          <w:u w:val="single"/>
        </w:rPr>
        <w:t>Bordoff</w:t>
      </w:r>
      <w:proofErr w:type="spellEnd"/>
      <w:r w:rsidRPr="00FF7E27">
        <w:rPr>
          <w:rStyle w:val="Emphasis"/>
          <w:i/>
          <w:iCs w:val="0"/>
          <w:u w:val="single"/>
        </w:rPr>
        <w:t xml:space="preserve"> 2016</w:t>
      </w:r>
      <w:r w:rsidRPr="00FF7E27">
        <w:rPr>
          <w:rStyle w:val="Emphasis"/>
          <w:i/>
          <w:iCs w:val="0"/>
        </w:rPr>
        <w:t xml:space="preserve"> (professor of professional practice and founding director of the Center on Global Energy Policy at Columbia University’s School of International and Public Affairs) 15 June 2016 </w:t>
      </w:r>
      <w:r w:rsidRPr="00FF7E27">
        <w:t>The Strategic Petroleum Reserve: A Policy Response to Oil Price Volatility?</w:t>
      </w:r>
      <w:r w:rsidR="00723C19">
        <w:t xml:space="preserve"> </w:t>
      </w:r>
      <w:hyperlink r:id="rId17" w:history="1">
        <w:r w:rsidR="00723C19" w:rsidRPr="001C3AE0">
          <w:rPr>
            <w:rStyle w:val="Hyperlink"/>
          </w:rPr>
          <w:t>https://www.cfr.org/blog/strategic-petroleum-reserve-policy-response-oil-price-volatility</w:t>
        </w:r>
        <w:bookmarkEnd w:id="63"/>
      </w:hyperlink>
      <w:r w:rsidR="00723C19">
        <w:rPr>
          <w:u w:color="7F7F7F"/>
        </w:rPr>
        <w:t xml:space="preserve"> </w:t>
      </w:r>
      <w:r w:rsidR="00723C19">
        <w:rPr>
          <w:rStyle w:val="Hyperlink"/>
          <w:color w:val="auto"/>
          <w:u w:val="none"/>
        </w:rPr>
        <w:t xml:space="preserve"> </w:t>
      </w:r>
    </w:p>
    <w:p w14:paraId="0252E7D2" w14:textId="17E95049" w:rsidR="00440AEA" w:rsidRPr="00440AEA" w:rsidRDefault="00440AEA" w:rsidP="00440AEA">
      <w:pPr>
        <w:pStyle w:val="Evidence"/>
      </w:pPr>
      <w:r w:rsidRPr="00440AEA">
        <w:rPr>
          <w:rStyle w:val="Strong"/>
          <w:b w:val="0"/>
          <w:bCs/>
        </w:rPr>
        <w:t>First</w:t>
      </w:r>
      <w:r w:rsidRPr="00440AEA">
        <w:t>, perhaps most importantly</w:t>
      </w:r>
      <w:r w:rsidRPr="003406D7">
        <w:rPr>
          <w:u w:val="single"/>
        </w:rPr>
        <w:t>, using government oil stocks to prevent price spikes and drops would mute the price signal to producers and consumers that would otherwise address the underlying supply and demand imbalance in the market. In response to high prices over the past decade, producers invested hundreds of billions of dollars in new sources of higher cost oil supply, including the investments and innovation that enabled U.S. shale revolution. Oil demand growth also slowed at the time as consumers responded to higher prices</w:t>
      </w:r>
      <w:r w:rsidRPr="00440AEA">
        <w:t xml:space="preserve">. But in response to the current price collapse, demand has rebounded, producers have slashed capital expenditures, and production is falling in the United States and other countries like China, Mexico and Colombia. </w:t>
      </w:r>
      <w:r w:rsidRPr="003406D7">
        <w:rPr>
          <w:u w:val="single"/>
        </w:rPr>
        <w:t>By muting these price signals to consumers and producers, the SPR could slow the market’s ability to correct itself, risking a prolonged imbalance between supply and demand</w:t>
      </w:r>
      <w:r w:rsidRPr="00440AEA">
        <w:t xml:space="preserve"> and depletion of the limited stocks in the SPR.</w:t>
      </w:r>
    </w:p>
    <w:p w14:paraId="1682AA5E" w14:textId="35184938" w:rsidR="00B64449" w:rsidRDefault="00B64449" w:rsidP="00B64449">
      <w:pPr>
        <w:pStyle w:val="Contention1"/>
      </w:pPr>
      <w:bookmarkStart w:id="64" w:name="_Toc22383920"/>
      <w:r w:rsidRPr="00DA1C75">
        <w:t xml:space="preserve">OBSERVATION </w:t>
      </w:r>
      <w:r w:rsidR="00AB7B3E">
        <w:t>3</w:t>
      </w:r>
      <w:r w:rsidRPr="00DA1C75">
        <w:t xml:space="preserve">. </w:t>
      </w:r>
      <w:r w:rsidR="00AB7B3E">
        <w:t>The</w:t>
      </w:r>
      <w:r>
        <w:t xml:space="preserve"> PLAN</w:t>
      </w:r>
      <w:r w:rsidR="00AB7B3E">
        <w:t>,</w:t>
      </w:r>
      <w:r>
        <w:t xml:space="preserve"> implemented by Congress, </w:t>
      </w:r>
      <w:r w:rsidRPr="00DA1C75">
        <w:t>the President</w:t>
      </w:r>
      <w:bookmarkEnd w:id="58"/>
      <w:r>
        <w:t xml:space="preserve">, and </w:t>
      </w:r>
      <w:bookmarkEnd w:id="59"/>
      <w:r w:rsidR="00AB7B3E">
        <w:t>the Dept of Energy</w:t>
      </w:r>
      <w:bookmarkEnd w:id="64"/>
    </w:p>
    <w:p w14:paraId="6B3EE339" w14:textId="752D209E" w:rsidR="00B64449" w:rsidRPr="00A55007" w:rsidRDefault="00B64449" w:rsidP="00B64449">
      <w:pPr>
        <w:pStyle w:val="Case"/>
        <w:numPr>
          <w:ilvl w:val="0"/>
          <w:numId w:val="0"/>
        </w:numPr>
        <w:spacing w:after="0"/>
        <w:ind w:left="576"/>
        <w:rPr>
          <w:color w:val="000000" w:themeColor="text1"/>
        </w:rPr>
      </w:pPr>
      <w:r w:rsidRPr="00A55007">
        <w:rPr>
          <w:color w:val="000000" w:themeColor="text1"/>
        </w:rPr>
        <w:t xml:space="preserve">1. </w:t>
      </w:r>
      <w:r>
        <w:rPr>
          <w:color w:val="000000" w:themeColor="text1"/>
        </w:rPr>
        <w:t xml:space="preserve">The Federal government </w:t>
      </w:r>
      <w:r w:rsidR="00F46719">
        <w:rPr>
          <w:color w:val="000000" w:themeColor="text1"/>
        </w:rPr>
        <w:t>sell</w:t>
      </w:r>
      <w:r w:rsidR="00FC35BA">
        <w:rPr>
          <w:color w:val="000000" w:themeColor="text1"/>
        </w:rPr>
        <w:t>s SPR</w:t>
      </w:r>
      <w:r w:rsidR="00F46719">
        <w:rPr>
          <w:color w:val="000000" w:themeColor="text1"/>
        </w:rPr>
        <w:t xml:space="preserve"> oil each month </w:t>
      </w:r>
      <w:r w:rsidR="00FC35BA">
        <w:rPr>
          <w:color w:val="000000" w:themeColor="text1"/>
        </w:rPr>
        <w:t xml:space="preserve">at </w:t>
      </w:r>
      <w:r w:rsidR="00F46719">
        <w:rPr>
          <w:color w:val="000000" w:themeColor="text1"/>
        </w:rPr>
        <w:t xml:space="preserve">10% of the amount of oil produced in the </w:t>
      </w:r>
      <w:r w:rsidR="00FC35BA">
        <w:rPr>
          <w:color w:val="000000" w:themeColor="text1"/>
        </w:rPr>
        <w:t>US</w:t>
      </w:r>
      <w:r w:rsidR="00F46719">
        <w:rPr>
          <w:color w:val="000000" w:themeColor="text1"/>
        </w:rPr>
        <w:t xml:space="preserve"> in the previous month</w:t>
      </w:r>
      <w:r w:rsidR="009F3647">
        <w:rPr>
          <w:color w:val="000000" w:themeColor="text1"/>
        </w:rPr>
        <w:t xml:space="preserve">. </w:t>
      </w:r>
      <w:r w:rsidR="00FC35BA">
        <w:rPr>
          <w:color w:val="000000" w:themeColor="text1"/>
        </w:rPr>
        <w:t>At termination,</w:t>
      </w:r>
      <w:r w:rsidR="009F3647">
        <w:rPr>
          <w:color w:val="000000" w:themeColor="text1"/>
        </w:rPr>
        <w:t xml:space="preserve"> the </w:t>
      </w:r>
      <w:r w:rsidR="00FC35BA">
        <w:rPr>
          <w:color w:val="000000" w:themeColor="text1"/>
        </w:rPr>
        <w:t>s</w:t>
      </w:r>
      <w:r w:rsidR="00A20AFF">
        <w:rPr>
          <w:color w:val="000000" w:themeColor="text1"/>
        </w:rPr>
        <w:t xml:space="preserve">torage </w:t>
      </w:r>
      <w:r w:rsidR="003406D7">
        <w:rPr>
          <w:color w:val="000000" w:themeColor="text1"/>
        </w:rPr>
        <w:t>reserve facilities</w:t>
      </w:r>
      <w:r w:rsidR="00A20AFF">
        <w:rPr>
          <w:color w:val="000000" w:themeColor="text1"/>
        </w:rPr>
        <w:t xml:space="preserve"> </w:t>
      </w:r>
      <w:r w:rsidR="009F3647">
        <w:rPr>
          <w:color w:val="000000" w:themeColor="text1"/>
        </w:rPr>
        <w:t>themselves</w:t>
      </w:r>
      <w:r w:rsidR="00AB7B3E">
        <w:rPr>
          <w:color w:val="000000" w:themeColor="text1"/>
        </w:rPr>
        <w:t xml:space="preserve"> are auctioned off</w:t>
      </w:r>
      <w:r w:rsidR="009F3647">
        <w:rPr>
          <w:color w:val="000000" w:themeColor="text1"/>
        </w:rPr>
        <w:t>.</w:t>
      </w:r>
    </w:p>
    <w:p w14:paraId="669FE00A" w14:textId="065A4936" w:rsidR="00B64449" w:rsidRDefault="00B64449" w:rsidP="00B64449">
      <w:pPr>
        <w:pStyle w:val="Case"/>
        <w:numPr>
          <w:ilvl w:val="0"/>
          <w:numId w:val="0"/>
        </w:numPr>
        <w:ind w:left="576"/>
      </w:pPr>
      <w:r>
        <w:t>2</w:t>
      </w:r>
      <w:r w:rsidRPr="00DA1C75">
        <w:t>.</w:t>
      </w:r>
      <w:r>
        <w:t xml:space="preserve"> F</w:t>
      </w:r>
      <w:r w:rsidRPr="00DA1C75">
        <w:t>unding</w:t>
      </w:r>
      <w:r>
        <w:t xml:space="preserve"> </w:t>
      </w:r>
      <w:r w:rsidR="00FC35BA">
        <w:t>generated from oil sales, with net increase in federal revenues</w:t>
      </w:r>
      <w:r w:rsidR="009F3647">
        <w:t>.</w:t>
      </w:r>
      <w:r>
        <w:br/>
        <w:t>3</w:t>
      </w:r>
      <w:r w:rsidRPr="00DA1C75">
        <w:t>.</w:t>
      </w:r>
      <w:r>
        <w:t xml:space="preserve"> </w:t>
      </w:r>
      <w:r w:rsidRPr="00DA1C75">
        <w:t xml:space="preserve">Plan </w:t>
      </w:r>
      <w:r w:rsidR="00FC35BA">
        <w:t>starts 30 days</w:t>
      </w:r>
      <w:r w:rsidR="00F46719">
        <w:t xml:space="preserve"> after an affirmative ballot</w:t>
      </w:r>
      <w:r>
        <w:t xml:space="preserve">. </w:t>
      </w:r>
      <w:r>
        <w:br/>
        <w:t>4</w:t>
      </w:r>
      <w:r w:rsidRPr="00DA1C75">
        <w:t>.</w:t>
      </w:r>
      <w:r>
        <w:t xml:space="preserve"> </w:t>
      </w:r>
      <w:r w:rsidRPr="00DA1C75">
        <w:t>Affirmative speeches may clarify</w:t>
      </w:r>
    </w:p>
    <w:p w14:paraId="5065FB1B" w14:textId="10336ACA" w:rsidR="00B64449" w:rsidRDefault="00317749" w:rsidP="00B64449">
      <w:pPr>
        <w:pStyle w:val="Contention1"/>
        <w:spacing w:after="120"/>
        <w:outlineLvl w:val="0"/>
        <w:rPr>
          <w:color w:val="000000" w:themeColor="text1"/>
        </w:rPr>
      </w:pPr>
      <w:bookmarkStart w:id="65" w:name="_Toc13054756"/>
      <w:bookmarkStart w:id="66" w:name="_Toc22383921"/>
      <w:r>
        <w:rPr>
          <w:color w:val="000000" w:themeColor="text1"/>
        </w:rPr>
        <w:lastRenderedPageBreak/>
        <w:t>OBSERVATION 4</w:t>
      </w:r>
      <w:r w:rsidR="00B64449" w:rsidRPr="001E0A50">
        <w:rPr>
          <w:color w:val="000000" w:themeColor="text1"/>
        </w:rPr>
        <w:t xml:space="preserve">. </w:t>
      </w:r>
      <w:bookmarkEnd w:id="65"/>
      <w:r w:rsidR="00F46719">
        <w:rPr>
          <w:color w:val="000000" w:themeColor="text1"/>
        </w:rPr>
        <w:t>SOLVENCY</w:t>
      </w:r>
      <w:bookmarkEnd w:id="66"/>
    </w:p>
    <w:p w14:paraId="1F948CD8" w14:textId="090FFE83" w:rsidR="00317749" w:rsidRDefault="00C36674" w:rsidP="00317749">
      <w:pPr>
        <w:pStyle w:val="Contention2"/>
      </w:pPr>
      <w:bookmarkStart w:id="67" w:name="_Toc22383922"/>
      <w:r>
        <w:t>Harms of the SPR exceed its benefits, and we’d be better off without it, and just let markets solve for oil shocks</w:t>
      </w:r>
      <w:bookmarkEnd w:id="67"/>
    </w:p>
    <w:p w14:paraId="59095312" w14:textId="77777777" w:rsidR="00C36674" w:rsidRDefault="00C36674" w:rsidP="00C36674">
      <w:pPr>
        <w:pStyle w:val="Citation3"/>
      </w:pPr>
      <w:bookmarkStart w:id="68" w:name="_Toc22488169"/>
      <w:r w:rsidRPr="00317749">
        <w:rPr>
          <w:u w:val="single"/>
        </w:rPr>
        <w:t xml:space="preserve">Lawrence </w:t>
      </w:r>
      <w:proofErr w:type="spellStart"/>
      <w:r w:rsidRPr="00317749">
        <w:rPr>
          <w:u w:val="single"/>
        </w:rPr>
        <w:t>Haar</w:t>
      </w:r>
      <w:proofErr w:type="spellEnd"/>
      <w:r w:rsidRPr="00317749">
        <w:rPr>
          <w:u w:val="single"/>
        </w:rPr>
        <w:t xml:space="preserve"> 2019</w:t>
      </w:r>
      <w:r>
        <w:t xml:space="preserve"> (senior lecturer in banking and finance at Oxford Brookes University, Oxford, England) “Good Money after Bad?” Fall 2019 REGULATION </w:t>
      </w:r>
      <w:hyperlink r:id="rId18" w:history="1">
        <w:r>
          <w:rPr>
            <w:rStyle w:val="Hyperlink"/>
          </w:rPr>
          <w:t>https://www.cato.org/sites/cato.org/files/2019-09/regulation-v42n3-3.pdf</w:t>
        </w:r>
        <w:bookmarkEnd w:id="68"/>
      </w:hyperlink>
    </w:p>
    <w:p w14:paraId="62CE7375" w14:textId="348B8301" w:rsidR="00317749" w:rsidRDefault="00317749" w:rsidP="00317749">
      <w:pPr>
        <w:pStyle w:val="Evidence"/>
        <w:rPr>
          <w:color w:val="000000" w:themeColor="text1"/>
        </w:rPr>
      </w:pPr>
      <w:r>
        <w:t xml:space="preserve">Indeed, </w:t>
      </w:r>
      <w:r w:rsidRPr="00C36674">
        <w:rPr>
          <w:u w:val="single"/>
        </w:rPr>
        <w:t xml:space="preserve">having strategic reserves may even contribute to moral hazard because parties that should manage their own risks become </w:t>
      </w:r>
      <w:proofErr w:type="gramStart"/>
      <w:r w:rsidRPr="00C36674">
        <w:rPr>
          <w:u w:val="single"/>
        </w:rPr>
        <w:t>free-riders</w:t>
      </w:r>
      <w:proofErr w:type="gramEnd"/>
      <w:r>
        <w:t xml:space="preserve">, like financial institutions relying on the Federal Reserve as a “lender of last resort.” This possibility has been noted in agricultural futures in the United States where, despite scope for hedging of exposures, farmers prefer to rely upon price supports from the U.S. Department of Agriculture. Petroleum markets, like the world itself, will remain a risky place. </w:t>
      </w:r>
      <w:r w:rsidRPr="00C36674">
        <w:rPr>
          <w:u w:val="single"/>
        </w:rPr>
        <w:t>Given the historical resilience of petroleum markets to quiet severe shocks, the scope for private parties to manage their own risks, and the costs of maintaining the SPR, the hard-earned dollars of U.S. taxpayers could be better spent</w:t>
      </w:r>
      <w:r>
        <w:t>.</w:t>
      </w:r>
    </w:p>
    <w:p w14:paraId="2E1E3209" w14:textId="7E4B9AB3" w:rsidR="00B64449" w:rsidRPr="003276AB" w:rsidRDefault="00B64449" w:rsidP="00B64449">
      <w:pPr>
        <w:pStyle w:val="Title2"/>
        <w:outlineLvl w:val="0"/>
      </w:pPr>
      <w:bookmarkStart w:id="69" w:name="_Toc489643412"/>
      <w:bookmarkStart w:id="70" w:name="_Toc490574617"/>
      <w:bookmarkStart w:id="71" w:name="_Toc13054767"/>
      <w:bookmarkStart w:id="72" w:name="_Toc22383923"/>
      <w:r w:rsidRPr="005F7D93">
        <w:lastRenderedPageBreak/>
        <w:t xml:space="preserve">2A </w:t>
      </w:r>
      <w:r>
        <w:t xml:space="preserve">Evidence: </w:t>
      </w:r>
      <w:bookmarkEnd w:id="69"/>
      <w:bookmarkEnd w:id="70"/>
      <w:bookmarkEnd w:id="71"/>
      <w:r w:rsidR="006A399D">
        <w:t>Abolish the Strategic Petroleum Reserve</w:t>
      </w:r>
      <w:bookmarkEnd w:id="72"/>
    </w:p>
    <w:p w14:paraId="0B5FE305" w14:textId="3A287341" w:rsidR="00250144" w:rsidRDefault="00250144" w:rsidP="00250144">
      <w:pPr>
        <w:pStyle w:val="Contention1"/>
      </w:pPr>
      <w:bookmarkStart w:id="73" w:name="_Toc22383924"/>
      <w:bookmarkStart w:id="74" w:name="_Toc489643417"/>
      <w:bookmarkStart w:id="75" w:name="_Toc490574622"/>
      <w:bookmarkStart w:id="76" w:name="_Toc13054768"/>
      <w:r>
        <w:t>DEFINITIONS</w:t>
      </w:r>
      <w:bookmarkEnd w:id="73"/>
    </w:p>
    <w:p w14:paraId="3CDA53BD" w14:textId="391F9831" w:rsidR="00250144" w:rsidRDefault="00250144" w:rsidP="00250144">
      <w:pPr>
        <w:pStyle w:val="Contention2"/>
      </w:pPr>
      <w:bookmarkStart w:id="77" w:name="_Toc22383925"/>
      <w:r>
        <w:t>SPR is “energy policy”</w:t>
      </w:r>
      <w:bookmarkEnd w:id="77"/>
    </w:p>
    <w:p w14:paraId="0C1E5FFA" w14:textId="1142E909" w:rsidR="00250144" w:rsidRDefault="00250144" w:rsidP="00250144">
      <w:pPr>
        <w:pStyle w:val="Citation3"/>
      </w:pPr>
      <w:bookmarkStart w:id="78" w:name="_Toc22488170"/>
      <w:r w:rsidRPr="00B02C10">
        <w:rPr>
          <w:u w:val="single"/>
        </w:rPr>
        <w:t>CNBC 2018.</w:t>
      </w:r>
      <w:r w:rsidRPr="00250144">
        <w:t xml:space="preserve"> “What happens if Trump taps the Strategic Petroleum Reserve</w:t>
      </w:r>
      <w:r>
        <w:t>”</w:t>
      </w:r>
      <w:r w:rsidR="00723C19">
        <w:t xml:space="preserve"> </w:t>
      </w:r>
      <w:r>
        <w:t xml:space="preserve">25 July 2018 </w:t>
      </w:r>
      <w:hyperlink r:id="rId19" w:history="1">
        <w:r>
          <w:rPr>
            <w:rStyle w:val="Hyperlink"/>
          </w:rPr>
          <w:t>https://www.cnbc.com/2018/07/24/what-happens-if-president-trump-taps-the-strategic-petroleum-reserve.html</w:t>
        </w:r>
        <w:bookmarkEnd w:id="78"/>
      </w:hyperlink>
    </w:p>
    <w:p w14:paraId="611D750F" w14:textId="19E07B6A" w:rsidR="00250144" w:rsidRDefault="00250144" w:rsidP="00250144">
      <w:pPr>
        <w:pStyle w:val="Evidence"/>
      </w:pPr>
      <w:r w:rsidRPr="00B02C10">
        <w:rPr>
          <w:u w:val="single"/>
        </w:rPr>
        <w:t>In 1975 Congress created the Energy Policy and Conservation Act, which founded the SPR</w:t>
      </w:r>
      <w:r>
        <w:t>, to increase energy supplies, curtail demand and prepare for energy emergencies. The International Energy Agency’s 30 members also established strategic oil reserves, worth 90 days of net imports.</w:t>
      </w:r>
    </w:p>
    <w:p w14:paraId="53EB4F53" w14:textId="3ABA18B4" w:rsidR="00B02C10" w:rsidRDefault="00AB7B3E" w:rsidP="00B02C10">
      <w:pPr>
        <w:pStyle w:val="Contention2"/>
      </w:pPr>
      <w:bookmarkStart w:id="79" w:name="_Toc22383926"/>
      <w:r>
        <w:t>Details about the SPR</w:t>
      </w:r>
      <w:bookmarkEnd w:id="79"/>
    </w:p>
    <w:p w14:paraId="5EF1BD65" w14:textId="2779861D" w:rsidR="00B02C10" w:rsidRDefault="00B02C10" w:rsidP="00B02C10">
      <w:pPr>
        <w:pStyle w:val="Citation3"/>
      </w:pPr>
      <w:bookmarkStart w:id="80" w:name="_Toc22488171"/>
      <w:r w:rsidRPr="006A399D">
        <w:rPr>
          <w:u w:val="single"/>
        </w:rPr>
        <w:t>Nicolas Loris,</w:t>
      </w:r>
      <w:r>
        <w:rPr>
          <w:u w:val="single"/>
        </w:rPr>
        <w:t xml:space="preserve"> </w:t>
      </w:r>
      <w:r w:rsidRPr="006A399D">
        <w:rPr>
          <w:u w:val="single"/>
        </w:rPr>
        <w:t>2015</w:t>
      </w:r>
      <w:r>
        <w:t>, (Deputy Director of the Thomas A. Roe Institute for Economic Policy Studies and Herbert and Joyce Morgan fellow at The Heritage Foundation;</w:t>
      </w:r>
      <w:r w:rsidR="00723C19">
        <w:t xml:space="preserve"> </w:t>
      </w:r>
      <w:r>
        <w:t xml:space="preserve">has testified before House and Senate committees) 20 August 2015 “Why Congress Should Pull the Plug on the Strategic Petroleum Reserve” </w:t>
      </w:r>
      <w:hyperlink r:id="rId20" w:history="1">
        <w:r w:rsidR="00723C19" w:rsidRPr="001C3AE0">
          <w:rPr>
            <w:rStyle w:val="Hyperlink"/>
          </w:rPr>
          <w:t>https://www.heritage.org/environment/report/why-congress-should-pull-the-plug-the-strategic-petroleum-reserve</w:t>
        </w:r>
        <w:bookmarkEnd w:id="80"/>
      </w:hyperlink>
      <w:r w:rsidR="00723C19">
        <w:t xml:space="preserve"> </w:t>
      </w:r>
    </w:p>
    <w:p w14:paraId="66FE2BFC" w14:textId="731C7509" w:rsidR="00B02C10" w:rsidRDefault="00B02C10" w:rsidP="00B02C10">
      <w:pPr>
        <w:pStyle w:val="Evidence"/>
      </w:pPr>
      <w:r>
        <w:t>The reserves are held in salt caverns in four locations in Texas and Louisiana, chosen for their proximity to Gulf Coast refineries. The salt caverns provide low permeability and high density that make it ideal for oil or gas storage. The four locations are:</w:t>
      </w:r>
      <w:r>
        <w:br/>
        <w:t>1. Bryan Mound in Freeport, Texas: capacity of 254 million barrels (MMB)</w:t>
      </w:r>
      <w:r>
        <w:br/>
        <w:t>2. Big Hill in Winnie, Texas: capacity of 160 MMB</w:t>
      </w:r>
      <w:r>
        <w:br/>
        <w:t>3. West Hackberry in Lake Charles, Louisiana: capacity of 227 MMB</w:t>
      </w:r>
      <w:r>
        <w:br/>
        <w:t>4. Bayou Choctaw in Baton Rouge, Louisiana: capacity of 76 MMB</w:t>
      </w:r>
    </w:p>
    <w:p w14:paraId="577241D5" w14:textId="4EB4DBC5" w:rsidR="00B64449" w:rsidRPr="00250144" w:rsidRDefault="00B64449" w:rsidP="00250144">
      <w:pPr>
        <w:pStyle w:val="Contention1"/>
      </w:pPr>
      <w:bookmarkStart w:id="81" w:name="_Toc22383927"/>
      <w:r w:rsidRPr="00250144">
        <w:t>INHERENCY</w:t>
      </w:r>
      <w:bookmarkEnd w:id="74"/>
      <w:bookmarkEnd w:id="75"/>
      <w:bookmarkEnd w:id="76"/>
      <w:bookmarkEnd w:id="81"/>
    </w:p>
    <w:p w14:paraId="77938DB3" w14:textId="63EDB025" w:rsidR="008921EE" w:rsidRDefault="008921EE" w:rsidP="008921EE">
      <w:pPr>
        <w:pStyle w:val="Contention2"/>
      </w:pPr>
      <w:bookmarkStart w:id="82" w:name="_Toc22383928"/>
      <w:r>
        <w:t>Congress mandated a minimum amount of oil in the reserves</w:t>
      </w:r>
      <w:bookmarkEnd w:id="82"/>
    </w:p>
    <w:p w14:paraId="6F5B99E8" w14:textId="1559490B" w:rsidR="008921EE" w:rsidRDefault="008921EE" w:rsidP="008921EE">
      <w:pPr>
        <w:pStyle w:val="Citation3"/>
      </w:pPr>
      <w:bookmarkStart w:id="83" w:name="_Toc14000076"/>
      <w:bookmarkStart w:id="84" w:name="_Toc14023339"/>
      <w:bookmarkStart w:id="85" w:name="_Toc14092250"/>
      <w:bookmarkStart w:id="86" w:name="_Toc14093379"/>
      <w:bookmarkStart w:id="87" w:name="_Toc14094552"/>
      <w:bookmarkStart w:id="88" w:name="_Toc14095579"/>
      <w:bookmarkStart w:id="89" w:name="_Toc14106036"/>
      <w:bookmarkStart w:id="90" w:name="_Toc14111902"/>
      <w:bookmarkStart w:id="91" w:name="_Toc14179387"/>
      <w:bookmarkStart w:id="92" w:name="_Toc22488172"/>
      <w:r w:rsidRPr="006A399D">
        <w:rPr>
          <w:u w:val="single"/>
        </w:rPr>
        <w:t>Nicolas Loris,</w:t>
      </w:r>
      <w:r>
        <w:rPr>
          <w:u w:val="single"/>
        </w:rPr>
        <w:t xml:space="preserve"> </w:t>
      </w:r>
      <w:r w:rsidRPr="006A399D">
        <w:rPr>
          <w:u w:val="single"/>
        </w:rPr>
        <w:t>2015</w:t>
      </w:r>
      <w: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hyperlink r:id="rId21" w:history="1">
        <w:r w:rsidR="00723C19" w:rsidRPr="001C3AE0">
          <w:rPr>
            <w:rStyle w:val="Hyperlink"/>
          </w:rPr>
          <w:t>https://www.heritage.org/environment/report/why-congress-should-pull-the-plug-the-strategic-petroleum-reserve</w:t>
        </w:r>
        <w:bookmarkEnd w:id="92"/>
      </w:hyperlink>
      <w:bookmarkEnd w:id="83"/>
      <w:bookmarkEnd w:id="84"/>
      <w:bookmarkEnd w:id="85"/>
      <w:bookmarkEnd w:id="86"/>
      <w:bookmarkEnd w:id="87"/>
      <w:bookmarkEnd w:id="88"/>
      <w:bookmarkEnd w:id="89"/>
      <w:bookmarkEnd w:id="90"/>
      <w:bookmarkEnd w:id="91"/>
      <w:r w:rsidR="00723C19">
        <w:t xml:space="preserve"> </w:t>
      </w:r>
    </w:p>
    <w:p w14:paraId="6E3E349F" w14:textId="2AEAA29F" w:rsidR="008921EE" w:rsidRDefault="008921EE" w:rsidP="008921EE">
      <w:pPr>
        <w:pStyle w:val="Evidence"/>
      </w:pPr>
      <w:r>
        <w:t xml:space="preserve">As part of the U.S. commitment to the IEA, the federal government created the SPR through the Energy Policy and Conservation Act (EPCA) in 1975. </w:t>
      </w:r>
      <w:r w:rsidRPr="008921EE">
        <w:rPr>
          <w:u w:val="single"/>
        </w:rPr>
        <w:t xml:space="preserve">Congress initially authorized the SPR to store up to one billion barrels of petroleum </w:t>
      </w:r>
      <w:proofErr w:type="gramStart"/>
      <w:r w:rsidRPr="008921EE">
        <w:rPr>
          <w:u w:val="single"/>
        </w:rPr>
        <w:t>products, and</w:t>
      </w:r>
      <w:proofErr w:type="gramEnd"/>
      <w:r w:rsidRPr="008921EE">
        <w:rPr>
          <w:u w:val="single"/>
        </w:rPr>
        <w:t xml:space="preserve"> mandated a minimum of 150 million barrels of petroleum products</w:t>
      </w:r>
      <w:r>
        <w:t xml:space="preserve">. </w:t>
      </w:r>
      <w:r w:rsidRPr="008921EE">
        <w:rPr>
          <w:u w:val="single"/>
        </w:rPr>
        <w:t xml:space="preserve">The SPR, which opened in 1977, currently has the capacity for 727 million barrels of crude </w:t>
      </w:r>
      <w:proofErr w:type="gramStart"/>
      <w:r w:rsidRPr="008921EE">
        <w:rPr>
          <w:u w:val="single"/>
        </w:rPr>
        <w:t>oil, and</w:t>
      </w:r>
      <w:proofErr w:type="gramEnd"/>
      <w:r w:rsidRPr="008921EE">
        <w:rPr>
          <w:u w:val="single"/>
        </w:rPr>
        <w:t xml:space="preserve"> holds 695.1 million barrels</w:t>
      </w:r>
      <w:r>
        <w:t xml:space="preserve"> of crude. </w:t>
      </w:r>
      <w:r w:rsidRPr="008921EE">
        <w:rPr>
          <w:u w:val="single"/>
        </w:rPr>
        <w:t>The reserves are held in salt caverns in four locations in Texas and Louisiana, chosen for their proximity to Gulf Coast refineries</w:t>
      </w:r>
      <w:r>
        <w:t>. The salt caverns provide low permeability and high density that make it ideal for oil or gas storage. The four locations are:</w:t>
      </w:r>
    </w:p>
    <w:p w14:paraId="668EE987" w14:textId="424D37C5" w:rsidR="006A399D" w:rsidRDefault="006A399D" w:rsidP="00B64449">
      <w:pPr>
        <w:pStyle w:val="Contention1"/>
      </w:pPr>
      <w:bookmarkStart w:id="93" w:name="_Toc22383929"/>
      <w:r>
        <w:lastRenderedPageBreak/>
        <w:t>HARMS</w:t>
      </w:r>
      <w:bookmarkEnd w:id="93"/>
    </w:p>
    <w:p w14:paraId="32C54F34" w14:textId="3179FF93" w:rsidR="006B717A" w:rsidRDefault="006B717A" w:rsidP="00B02C10">
      <w:pPr>
        <w:pStyle w:val="Contention1"/>
      </w:pPr>
      <w:bookmarkStart w:id="94" w:name="_Toc22383930"/>
      <w:r>
        <w:t>Poisonous gas</w:t>
      </w:r>
      <w:r w:rsidR="00B02C10">
        <w:t xml:space="preserve"> – Hydrogen Sulfide</w:t>
      </w:r>
      <w:bookmarkEnd w:id="94"/>
    </w:p>
    <w:p w14:paraId="787DD449" w14:textId="76E70ED1" w:rsidR="00053132" w:rsidRDefault="00053132" w:rsidP="00271CB7">
      <w:pPr>
        <w:pStyle w:val="Contention2"/>
      </w:pPr>
      <w:bookmarkStart w:id="95" w:name="_Toc22383931"/>
      <w:r>
        <w:t>Multiple sources: Many companies have reported high levels of hydrogen sulfide in oil from the SPR</w:t>
      </w:r>
      <w:bookmarkEnd w:id="95"/>
    </w:p>
    <w:p w14:paraId="7C990E8E" w14:textId="35A039CF" w:rsidR="005F7901" w:rsidRPr="005F7901" w:rsidRDefault="005F7901" w:rsidP="005F7901">
      <w:pPr>
        <w:pStyle w:val="Citation3"/>
      </w:pPr>
      <w:bookmarkStart w:id="96" w:name="_Toc14106041"/>
      <w:bookmarkStart w:id="97" w:name="_Toc14111904"/>
      <w:bookmarkStart w:id="98" w:name="_Toc14179388"/>
      <w:bookmarkStart w:id="99" w:name="_Toc22488173"/>
      <w:r w:rsidRPr="005F7901">
        <w:rPr>
          <w:u w:val="single"/>
        </w:rPr>
        <w:t>David Grossman</w:t>
      </w:r>
      <w:r>
        <w:rPr>
          <w:u w:val="single"/>
        </w:rPr>
        <w:t xml:space="preserve"> 2018 </w:t>
      </w:r>
      <w:r>
        <w:t>(</w:t>
      </w:r>
      <w:r w:rsidRPr="005F7901">
        <w:t xml:space="preserve">staff </w:t>
      </w:r>
      <w:r>
        <w:t>writer for PopularMechanics.com) 29 March 2018“</w:t>
      </w:r>
      <w:r w:rsidRPr="005F7901">
        <w:t>The US Sold Contaminated Crude Oil From Its Strategic Reserve—Report</w:t>
      </w:r>
      <w:r>
        <w:t xml:space="preserve">” </w:t>
      </w:r>
      <w:hyperlink r:id="rId22" w:history="1">
        <w:r w:rsidR="00B02C10" w:rsidRPr="00423984">
          <w:rPr>
            <w:rStyle w:val="Hyperlink"/>
          </w:rPr>
          <w:t>https://www.popularmechanics.com/technology/infrastructure/a19634690/us-poisoned-crude-oil/</w:t>
        </w:r>
        <w:bookmarkEnd w:id="99"/>
      </w:hyperlink>
      <w:bookmarkEnd w:id="96"/>
      <w:bookmarkEnd w:id="97"/>
      <w:bookmarkEnd w:id="98"/>
    </w:p>
    <w:p w14:paraId="19305DDE" w14:textId="4EC83C57" w:rsidR="00053132" w:rsidRDefault="00053132" w:rsidP="00053132">
      <w:pPr>
        <w:pStyle w:val="Evidence"/>
      </w:pPr>
      <w:r w:rsidRPr="00053132">
        <w:t xml:space="preserve">Internal Energy Department emails obtained by Reuters show that </w:t>
      </w:r>
      <w:r w:rsidRPr="005F7901">
        <w:rPr>
          <w:u w:val="single"/>
        </w:rPr>
        <w:t>Royal Dutch Shell, the Australian bank Macquarie Group, and PetroChina International America</w:t>
      </w:r>
      <w:r w:rsidRPr="00053132">
        <w:t xml:space="preserve"> (the U.S. trading arm of a Chinese state-owned energy firm) </w:t>
      </w:r>
      <w:r w:rsidRPr="005F7901">
        <w:rPr>
          <w:u w:val="single"/>
        </w:rPr>
        <w:t>have all been dissatisfied with the quality of oil purchased from the U.S. Strategic Petroleum Reserve</w:t>
      </w:r>
      <w:r w:rsidRPr="00053132">
        <w:t xml:space="preserve"> (SPR). Shell oil trader Steve Sellers wrote that his multinational company was "unpleasantly surprised” to discover high levels of hydrogen sulfide (HS2) in oil purchased from the SPR, the world's largest government reserve.</w:t>
      </w:r>
    </w:p>
    <w:p w14:paraId="650C1B0F" w14:textId="2A40E86F" w:rsidR="00271CB7" w:rsidRDefault="00053132" w:rsidP="00271CB7">
      <w:pPr>
        <w:pStyle w:val="Contention2"/>
      </w:pPr>
      <w:bookmarkStart w:id="100" w:name="_Toc22383932"/>
      <w:r>
        <w:t>A/T “Other oil could be just as dangerous” Oil that is not from the SPR is rarely contaminated</w:t>
      </w:r>
      <w:bookmarkEnd w:id="100"/>
    </w:p>
    <w:p w14:paraId="15920A17" w14:textId="77777777" w:rsidR="00053132" w:rsidRPr="00271CB7" w:rsidRDefault="00053132" w:rsidP="00053132">
      <w:pPr>
        <w:pStyle w:val="Citation3"/>
      </w:pPr>
      <w:bookmarkStart w:id="101" w:name="_Toc14106042"/>
      <w:bookmarkStart w:id="102" w:name="_Toc14111905"/>
      <w:bookmarkStart w:id="103" w:name="_Toc14179389"/>
      <w:bookmarkStart w:id="104" w:name="_Toc22488174"/>
      <w:r w:rsidRPr="00271CB7">
        <w:rPr>
          <w:u w:val="single"/>
        </w:rPr>
        <w:t>Catherine Ngai</w:t>
      </w:r>
      <w:r>
        <w:rPr>
          <w:u w:val="single"/>
        </w:rPr>
        <w:t xml:space="preserve"> 2018</w:t>
      </w:r>
      <w:r w:rsidRPr="00271CB7">
        <w:rPr>
          <w:u w:val="single"/>
        </w:rPr>
        <w:t xml:space="preserve"> </w:t>
      </w:r>
      <w:r>
        <w:t>(</w:t>
      </w:r>
      <w:r w:rsidRPr="00271CB7">
        <w:t>Energy markets reporter at Bloomberg</w:t>
      </w:r>
      <w:r>
        <w:t>; former energy markets reporter and Reuters) 29 March 2018 “</w:t>
      </w:r>
      <w:r w:rsidRPr="00271CB7">
        <w:t>Exclusive: Firms complain of contaminated crude from U.S. reserve</w:t>
      </w:r>
      <w:r>
        <w:t xml:space="preserve">” </w:t>
      </w:r>
      <w:hyperlink r:id="rId23" w:history="1">
        <w:r w:rsidRPr="00271CB7">
          <w:rPr>
            <w:rStyle w:val="Hyperlink"/>
          </w:rPr>
          <w:t>https://www.reuters.com/article/us-usa-oil-contamination-exclusive/exclusive-firms-complain-of-contaminated-crude-from-u-s-reserve-idUSKBN1H50GI</w:t>
        </w:r>
        <w:bookmarkEnd w:id="101"/>
        <w:bookmarkEnd w:id="102"/>
        <w:bookmarkEnd w:id="103"/>
        <w:bookmarkEnd w:id="104"/>
      </w:hyperlink>
    </w:p>
    <w:p w14:paraId="1721B3AF" w14:textId="40323085" w:rsidR="00053132" w:rsidRDefault="00053132" w:rsidP="00053132">
      <w:pPr>
        <w:pStyle w:val="Evidence"/>
      </w:pPr>
      <w:r w:rsidRPr="00053132">
        <w:t>Reuters was not able to determine how often high levels of H2S are detected across the industry, but industry experts and chemical petroleum engineers said such incidents are rare.</w:t>
      </w:r>
    </w:p>
    <w:p w14:paraId="02B86D42" w14:textId="5C887A78" w:rsidR="00053132" w:rsidRDefault="00053132" w:rsidP="006B717A">
      <w:pPr>
        <w:pStyle w:val="Contention2"/>
      </w:pPr>
      <w:bookmarkStart w:id="105" w:name="_Toc22383933"/>
      <w:r>
        <w:t>The hydrogen sulfide may be a result of storing the petroleum in the salt caverns which would be a permanent problem</w:t>
      </w:r>
      <w:bookmarkEnd w:id="105"/>
      <w:r>
        <w:t xml:space="preserve"> </w:t>
      </w:r>
    </w:p>
    <w:p w14:paraId="4162705F" w14:textId="77777777" w:rsidR="00053132" w:rsidRPr="00053132" w:rsidRDefault="00053132" w:rsidP="00053132">
      <w:pPr>
        <w:pStyle w:val="Citation3"/>
      </w:pPr>
      <w:bookmarkStart w:id="106" w:name="_Toc14106043"/>
      <w:bookmarkStart w:id="107" w:name="_Toc14111906"/>
      <w:bookmarkStart w:id="108" w:name="_Toc14179390"/>
      <w:bookmarkStart w:id="109" w:name="_Toc22488175"/>
      <w:r w:rsidRPr="00053132">
        <w:rPr>
          <w:u w:val="single"/>
        </w:rPr>
        <w:t>TSVETANA PARASKOVA</w:t>
      </w:r>
      <w:r>
        <w:rPr>
          <w:u w:val="single"/>
        </w:rPr>
        <w:t xml:space="preserve"> 2019 </w:t>
      </w:r>
      <w:r>
        <w:t>(</w:t>
      </w:r>
      <w:r w:rsidRPr="00053132">
        <w:t>a writer for Oilprice.com with over a decade of experience writing for news outlets</w:t>
      </w:r>
      <w:r>
        <w:t>) 12 April 2019 “</w:t>
      </w:r>
      <w:r w:rsidRPr="00053132">
        <w:t>Exxon Complains Of Toxic U.S. Govt Crude Oil</w:t>
      </w:r>
      <w:r>
        <w:t xml:space="preserve">” </w:t>
      </w:r>
      <w:hyperlink r:id="rId24" w:history="1">
        <w:r w:rsidRPr="00053132">
          <w:rPr>
            <w:rStyle w:val="Hyperlink"/>
          </w:rPr>
          <w:t>https://oilprice.com/Latest-Energy-News/World-News/Exxon-Complains-Of-Toxic-US-Govt-Crude-Oil.html</w:t>
        </w:r>
        <w:bookmarkEnd w:id="106"/>
        <w:bookmarkEnd w:id="107"/>
        <w:bookmarkEnd w:id="108"/>
        <w:bookmarkEnd w:id="109"/>
      </w:hyperlink>
    </w:p>
    <w:p w14:paraId="632A9699" w14:textId="77777777" w:rsidR="00053132" w:rsidRPr="00053132" w:rsidRDefault="00053132" w:rsidP="00053132">
      <w:pPr>
        <w:pStyle w:val="Evidence"/>
      </w:pPr>
      <w:r w:rsidRPr="00053132">
        <w:t>Chemical engineers told Bloomberg that the possible contamination in the SPR crude could have occurred when high-sulfur crude—put in the stockpile years ago—was blended with oil that has been added more recently, or that bacteria may have grown in the caverns and transformed the sulfur in the sour crude into hydrogen sulfide. </w:t>
      </w:r>
    </w:p>
    <w:p w14:paraId="79CDF7FE" w14:textId="49D2CBD7" w:rsidR="00D14CD7" w:rsidRDefault="00D14CD7" w:rsidP="006B717A">
      <w:pPr>
        <w:pStyle w:val="Contention2"/>
      </w:pPr>
      <w:bookmarkStart w:id="110" w:name="_Toc22383934"/>
      <w:r>
        <w:t>Impact: Lost lives</w:t>
      </w:r>
      <w:r w:rsidR="00723C19">
        <w:t xml:space="preserve"> </w:t>
      </w:r>
      <w:r>
        <w:t>- 500 ppm can kill people; the SPR has 5,000 ppm</w:t>
      </w:r>
      <w:bookmarkEnd w:id="110"/>
    </w:p>
    <w:p w14:paraId="0AE681B3" w14:textId="618E51F5" w:rsidR="00D14CD7" w:rsidRPr="00697332" w:rsidRDefault="00D14CD7" w:rsidP="00D14CD7">
      <w:pPr>
        <w:pStyle w:val="Citation3"/>
      </w:pPr>
      <w:bookmarkStart w:id="111" w:name="_Toc14023343"/>
      <w:bookmarkStart w:id="112" w:name="_Toc14092254"/>
      <w:bookmarkStart w:id="113" w:name="_Toc14093383"/>
      <w:bookmarkStart w:id="114" w:name="_Toc14094556"/>
      <w:bookmarkStart w:id="115" w:name="_Toc14095583"/>
      <w:bookmarkStart w:id="116" w:name="_Toc14106044"/>
      <w:bookmarkStart w:id="117" w:name="_Toc14111907"/>
      <w:bookmarkStart w:id="118" w:name="_Toc14179391"/>
      <w:bookmarkStart w:id="119" w:name="_Toc22488176"/>
      <w:r w:rsidRPr="00697332">
        <w:rPr>
          <w:u w:val="single"/>
        </w:rPr>
        <w:t xml:space="preserve">Catherine Ngai 2019 </w:t>
      </w:r>
      <w:r w:rsidRPr="00697332">
        <w:t xml:space="preserve">(Energy markets reporter at Bloomberg) 15 April 2019 “Contaminated Oil Linked to U.S. Reserves Raises Safety Concerns” </w:t>
      </w:r>
      <w:bookmarkEnd w:id="111"/>
      <w:bookmarkEnd w:id="112"/>
      <w:bookmarkEnd w:id="113"/>
      <w:bookmarkEnd w:id="114"/>
      <w:bookmarkEnd w:id="115"/>
      <w:bookmarkEnd w:id="116"/>
      <w:bookmarkEnd w:id="117"/>
      <w:bookmarkEnd w:id="118"/>
      <w:r w:rsidR="00723C19">
        <w:rPr>
          <w:u w:color="7F7F7F"/>
        </w:rPr>
        <w:fldChar w:fldCharType="begin"/>
      </w:r>
      <w:r w:rsidR="00723C19">
        <w:rPr>
          <w:u w:color="7F7F7F"/>
        </w:rPr>
        <w:instrText xml:space="preserve"> HYPERLINK "</w:instrText>
      </w:r>
      <w:r w:rsidR="00723C19" w:rsidRPr="00723C19">
        <w:rPr>
          <w:u w:color="7F7F7F"/>
        </w:rPr>
        <w:instrText>https://www.insurancejournal.com/news/national/2019/04/15/523778.htm</w:instrText>
      </w:r>
      <w:r w:rsidR="00723C19">
        <w:rPr>
          <w:rStyle w:val="Hyperlink"/>
          <w:color w:val="auto"/>
        </w:rPr>
        <w:instrText>l</w:instrText>
      </w:r>
      <w:r w:rsidR="00723C19">
        <w:rPr>
          <w:u w:color="7F7F7F"/>
        </w:rPr>
        <w:instrText xml:space="preserve">" </w:instrText>
      </w:r>
      <w:r w:rsidR="00723C19">
        <w:rPr>
          <w:u w:color="7F7F7F"/>
        </w:rPr>
        <w:fldChar w:fldCharType="separate"/>
      </w:r>
      <w:r w:rsidR="00723C19" w:rsidRPr="001C3AE0">
        <w:rPr>
          <w:rStyle w:val="Hyperlink"/>
        </w:rPr>
        <w:t>https://www.insurancejournal.com/news/national/2019/04/15/523778.html</w:t>
      </w:r>
      <w:bookmarkEnd w:id="119"/>
      <w:r w:rsidR="00723C19">
        <w:rPr>
          <w:u w:color="7F7F7F"/>
        </w:rPr>
        <w:fldChar w:fldCharType="end"/>
      </w:r>
      <w:r w:rsidR="00723C19">
        <w:rPr>
          <w:rStyle w:val="Hyperlink"/>
          <w:color w:val="auto"/>
        </w:rPr>
        <w:t xml:space="preserve">  </w:t>
      </w:r>
    </w:p>
    <w:p w14:paraId="05E902BF" w14:textId="2326379D" w:rsidR="00D14CD7" w:rsidRPr="00697332" w:rsidRDefault="00D14CD7" w:rsidP="00D14CD7">
      <w:pPr>
        <w:pStyle w:val="Evidence"/>
        <w:rPr>
          <w:color w:val="auto"/>
        </w:rPr>
      </w:pPr>
      <w:r w:rsidRPr="00697332">
        <w:rPr>
          <w:color w:val="auto"/>
          <w:u w:val="single"/>
        </w:rPr>
        <w:t>Exxon</w:t>
      </w:r>
      <w:r w:rsidRPr="00697332">
        <w:rPr>
          <w:color w:val="auto"/>
        </w:rPr>
        <w:t xml:space="preserve"> was one of five companies that purchased oil in an Energy Department sale in August. Exxon took 1.5 million barrels of Bryan Mound sour crude — a high sulfur oil that’s recently become more expensive as global supply shrink — by pipeline to Texas City. There, the company </w:t>
      </w:r>
      <w:r w:rsidRPr="00697332">
        <w:rPr>
          <w:color w:val="auto"/>
          <w:u w:val="single"/>
        </w:rPr>
        <w:t>discovered hydrogen sulfide levels that were at 5,000 ppm</w:t>
      </w:r>
      <w:r w:rsidRPr="00697332">
        <w:rPr>
          <w:color w:val="auto"/>
        </w:rPr>
        <w:t xml:space="preserve">, according to emails sent to the department in November by Mattias Bruno, a lead oil trader at Exxon Mobil. </w:t>
      </w:r>
      <w:r w:rsidRPr="00697332">
        <w:rPr>
          <w:color w:val="auto"/>
          <w:u w:val="single"/>
        </w:rPr>
        <w:t>The exposure limit set by the Occupational Safety and Health Administration is 20 ppm. Exposure at 500-700 ppm could cause a person to collapse in five minutes and die within an hour.</w:t>
      </w:r>
      <w:r w:rsidRPr="00697332">
        <w:rPr>
          <w:color w:val="auto"/>
        </w:rPr>
        <w:t xml:space="preserve"> After discovering high levels of the gas, Exxon launched an investigation, according to the emails.</w:t>
      </w:r>
    </w:p>
    <w:p w14:paraId="1E99CCEE" w14:textId="7F4FCBFD" w:rsidR="00053132" w:rsidRDefault="00053132" w:rsidP="006B717A">
      <w:pPr>
        <w:pStyle w:val="Contention2"/>
      </w:pPr>
      <w:bookmarkStart w:id="120" w:name="_Toc22383935"/>
      <w:r>
        <w:lastRenderedPageBreak/>
        <w:t>Hydrogen Sulfide can be harmful even at low concentrations</w:t>
      </w:r>
      <w:bookmarkEnd w:id="120"/>
    </w:p>
    <w:p w14:paraId="7069DEBC" w14:textId="26768D7B" w:rsidR="00053132" w:rsidRPr="00053132" w:rsidRDefault="00053132" w:rsidP="00053132">
      <w:pPr>
        <w:pStyle w:val="Citation3"/>
      </w:pPr>
      <w:bookmarkStart w:id="121" w:name="_Toc14106047"/>
      <w:bookmarkStart w:id="122" w:name="_Toc14111908"/>
      <w:bookmarkStart w:id="123" w:name="_Toc14179392"/>
      <w:bookmarkStart w:id="124" w:name="_Toc22488177"/>
      <w:r w:rsidRPr="00053132">
        <w:rPr>
          <w:u w:val="single"/>
        </w:rPr>
        <w:t>TSVETANA PARASKOVA</w:t>
      </w:r>
      <w:r>
        <w:rPr>
          <w:u w:val="single"/>
        </w:rPr>
        <w:t xml:space="preserve"> 2019 </w:t>
      </w:r>
      <w:r>
        <w:t>(</w:t>
      </w:r>
      <w:r w:rsidRPr="00053132">
        <w:t>a writer for Oilprice.com with over a decade of experience writing for news outlets</w:t>
      </w:r>
      <w:r>
        <w:t>) 12 April 2019 “</w:t>
      </w:r>
      <w:r w:rsidRPr="00053132">
        <w:t>Exxon Complains Of Toxic U.S. Govt Crude Oil</w:t>
      </w:r>
      <w:r>
        <w:t xml:space="preserve">” </w:t>
      </w:r>
      <w:hyperlink r:id="rId25" w:history="1">
        <w:r w:rsidRPr="00053132">
          <w:rPr>
            <w:rStyle w:val="Hyperlink"/>
          </w:rPr>
          <w:t>https://oilprice.com/Latest-Energy-News/World-News/Exxon-Complains-Of-Toxic-US-Govt-Crude-Oil.html</w:t>
        </w:r>
        <w:bookmarkEnd w:id="121"/>
        <w:bookmarkEnd w:id="122"/>
        <w:bookmarkEnd w:id="123"/>
        <w:bookmarkEnd w:id="124"/>
      </w:hyperlink>
    </w:p>
    <w:p w14:paraId="0D577F43" w14:textId="63857196" w:rsidR="00053132" w:rsidRDefault="00053132" w:rsidP="00053132">
      <w:pPr>
        <w:pStyle w:val="Evidence"/>
      </w:pPr>
      <w:r w:rsidRPr="00053132">
        <w:t>Apart from corroding refinery equipment, high levels of hydrogen sulfide are dangerous to humans, and many effects are seen even at low concentrations, according to the U.S. Occupational Safety and Health Administration. Effects range from mild effects, such as headaches or eye irritation, to very serious consequences, including unconsciousness and death.</w:t>
      </w:r>
    </w:p>
    <w:p w14:paraId="7770FD52" w14:textId="3A91CE72" w:rsidR="006B717A" w:rsidRDefault="006B717A" w:rsidP="006B717A">
      <w:pPr>
        <w:pStyle w:val="Contention2"/>
      </w:pPr>
      <w:bookmarkStart w:id="125" w:name="_Toc22383936"/>
      <w:r>
        <w:t xml:space="preserve">Impact: reduced </w:t>
      </w:r>
      <w:r w:rsidR="00572F56">
        <w:t>cost effectiveness, companies are reluctant to pay high prices for potentially tainted oil</w:t>
      </w:r>
      <w:bookmarkEnd w:id="125"/>
    </w:p>
    <w:p w14:paraId="734F62B6" w14:textId="27B4144A" w:rsidR="00572F56" w:rsidRPr="00697332" w:rsidRDefault="00572F56" w:rsidP="00572F56">
      <w:pPr>
        <w:pStyle w:val="Citation3"/>
      </w:pPr>
      <w:bookmarkStart w:id="126" w:name="_Toc14023345"/>
      <w:bookmarkStart w:id="127" w:name="_Toc14092256"/>
      <w:bookmarkStart w:id="128" w:name="_Toc14093385"/>
      <w:bookmarkStart w:id="129" w:name="_Toc14094558"/>
      <w:bookmarkStart w:id="130" w:name="_Toc14095585"/>
      <w:bookmarkStart w:id="131" w:name="_Toc14106049"/>
      <w:bookmarkStart w:id="132" w:name="_Toc14111909"/>
      <w:bookmarkStart w:id="133" w:name="_Toc14179393"/>
      <w:bookmarkStart w:id="134" w:name="_Toc22488178"/>
      <w:r w:rsidRPr="00697332">
        <w:rPr>
          <w:u w:val="single"/>
        </w:rPr>
        <w:t xml:space="preserve">Catherine Ngai 2019 </w:t>
      </w:r>
      <w:r w:rsidRPr="00697332">
        <w:t xml:space="preserve">(Energy markets reporter at Bloomberg) 15 April 2019 “Contaminated Oil Linked to U.S. Reserves Raises Safety Concerns” </w:t>
      </w:r>
      <w:bookmarkEnd w:id="126"/>
      <w:bookmarkEnd w:id="127"/>
      <w:bookmarkEnd w:id="128"/>
      <w:bookmarkEnd w:id="129"/>
      <w:bookmarkEnd w:id="130"/>
      <w:bookmarkEnd w:id="131"/>
      <w:bookmarkEnd w:id="132"/>
      <w:bookmarkEnd w:id="133"/>
      <w:r w:rsidR="00723C19">
        <w:rPr>
          <w:u w:color="7F7F7F"/>
        </w:rPr>
        <w:fldChar w:fldCharType="begin"/>
      </w:r>
      <w:r w:rsidR="00723C19">
        <w:rPr>
          <w:u w:color="7F7F7F"/>
        </w:rPr>
        <w:instrText xml:space="preserve"> HYPERLINK "</w:instrText>
      </w:r>
      <w:r w:rsidR="00723C19" w:rsidRPr="00723C19">
        <w:rPr>
          <w:u w:color="7F7F7F"/>
        </w:rPr>
        <w:instrText>https://www.insurancejournal.com/news/national/2019/04/15/523778.htm</w:instrText>
      </w:r>
      <w:r w:rsidR="00723C19">
        <w:rPr>
          <w:rStyle w:val="Hyperlink"/>
          <w:color w:val="auto"/>
        </w:rPr>
        <w:instrText>l</w:instrText>
      </w:r>
      <w:r w:rsidR="00723C19">
        <w:rPr>
          <w:u w:color="7F7F7F"/>
        </w:rPr>
        <w:instrText xml:space="preserve">" </w:instrText>
      </w:r>
      <w:r w:rsidR="00723C19">
        <w:rPr>
          <w:u w:color="7F7F7F"/>
        </w:rPr>
        <w:fldChar w:fldCharType="separate"/>
      </w:r>
      <w:r w:rsidR="00723C19" w:rsidRPr="001C3AE0">
        <w:rPr>
          <w:rStyle w:val="Hyperlink"/>
        </w:rPr>
        <w:t>https://www.insurancejournal.com/news/national/2019/04/15/523778.html</w:t>
      </w:r>
      <w:bookmarkEnd w:id="134"/>
      <w:r w:rsidR="00723C19">
        <w:rPr>
          <w:u w:color="7F7F7F"/>
        </w:rPr>
        <w:fldChar w:fldCharType="end"/>
      </w:r>
      <w:r w:rsidR="00723C19">
        <w:rPr>
          <w:rStyle w:val="Hyperlink"/>
          <w:color w:val="auto"/>
        </w:rPr>
        <w:t xml:space="preserve"> </w:t>
      </w:r>
    </w:p>
    <w:p w14:paraId="729ED558" w14:textId="77777777" w:rsidR="00572F56" w:rsidRPr="00697332" w:rsidRDefault="00572F56" w:rsidP="00572F56">
      <w:pPr>
        <w:pStyle w:val="Evidence"/>
        <w:rPr>
          <w:color w:val="auto"/>
        </w:rPr>
      </w:pPr>
      <w:r w:rsidRPr="00697332">
        <w:rPr>
          <w:color w:val="auto"/>
        </w:rPr>
        <w:t>The prospect of tainted crude in the reserve complicates future sales of U.S. oil, a key tool for funding government programs. A 5 million-barrel sale is planned for 2019, and 221 million barrels of oil are planned for sale from 2020 to 2027.</w:t>
      </w:r>
    </w:p>
    <w:p w14:paraId="2461E930" w14:textId="2CBF8647" w:rsidR="00D900E8" w:rsidRDefault="00697332" w:rsidP="00AB7B3E">
      <w:pPr>
        <w:pStyle w:val="Contention1"/>
      </w:pPr>
      <w:bookmarkStart w:id="135" w:name="_Toc22383937"/>
      <w:r>
        <w:t>Prevents effective free market response</w:t>
      </w:r>
      <w:bookmarkEnd w:id="135"/>
    </w:p>
    <w:p w14:paraId="126A6EB3" w14:textId="628B2670" w:rsidR="00D900E8" w:rsidRDefault="00D900E8" w:rsidP="00D900E8">
      <w:pPr>
        <w:pStyle w:val="Contention2"/>
      </w:pPr>
      <w:bookmarkStart w:id="136" w:name="_Toc22383938"/>
      <w:r>
        <w:t>The SPR harms the private reserves ability to respond to supply disruptions</w:t>
      </w:r>
      <w:bookmarkEnd w:id="136"/>
    </w:p>
    <w:p w14:paraId="7521A9FD" w14:textId="12B59B7B" w:rsidR="00D900E8" w:rsidRDefault="00D900E8" w:rsidP="00D900E8">
      <w:pPr>
        <w:pStyle w:val="Citation3"/>
      </w:pPr>
      <w:bookmarkStart w:id="137" w:name="_Toc14094559"/>
      <w:bookmarkStart w:id="138" w:name="_Toc14095586"/>
      <w:bookmarkStart w:id="139" w:name="_Toc14106050"/>
      <w:bookmarkStart w:id="140" w:name="_Toc14111910"/>
      <w:bookmarkStart w:id="141" w:name="_Toc14179394"/>
      <w:bookmarkStart w:id="142" w:name="_Toc22488179"/>
      <w:r w:rsidRPr="006A399D">
        <w:rPr>
          <w:u w:val="single"/>
        </w:rPr>
        <w:t>Nicolas Loris,</w:t>
      </w:r>
      <w:r>
        <w:rPr>
          <w:u w:val="single"/>
        </w:rPr>
        <w:t xml:space="preserve"> </w:t>
      </w:r>
      <w:r w:rsidRPr="006A399D">
        <w:rPr>
          <w:u w:val="single"/>
        </w:rPr>
        <w:t>2015</w:t>
      </w:r>
      <w: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hyperlink r:id="rId26" w:history="1">
        <w:r w:rsidR="00723C19" w:rsidRPr="001C3AE0">
          <w:rPr>
            <w:rStyle w:val="Hyperlink"/>
          </w:rPr>
          <w:t>https://www.heritage.org/environment/report/why-congress-should-pull-the-plug-the-strategic-petroleum-reserve</w:t>
        </w:r>
        <w:bookmarkEnd w:id="142"/>
      </w:hyperlink>
      <w:bookmarkEnd w:id="137"/>
      <w:bookmarkEnd w:id="138"/>
      <w:bookmarkEnd w:id="139"/>
      <w:bookmarkEnd w:id="140"/>
      <w:bookmarkEnd w:id="141"/>
      <w:r w:rsidR="00723C19">
        <w:t xml:space="preserve"> </w:t>
      </w:r>
    </w:p>
    <w:p w14:paraId="452CCB97" w14:textId="5C68FEFD" w:rsidR="00D900E8" w:rsidRDefault="00D900E8" w:rsidP="00D900E8">
      <w:pPr>
        <w:pStyle w:val="Evidence"/>
        <w:rPr>
          <w:u w:val="single"/>
        </w:rPr>
      </w:pPr>
      <w:r w:rsidRPr="00D900E8">
        <w:t>Since a diverse mix of countries produce oil for the global market, private inventories can provide market buffers against supply shocks. Private companies respond to prices and market scenarios by building up inventories and unloading them. Private inventories among OECD countries grew to 2.72 billion barrels at the end of 2014, the highest on record, but still only the equivalent of roughly two months of consumption. The Energy Information Administration projects commercial inventories to continue to grow to nearly 3 billion barrels by 2015. </w:t>
      </w:r>
      <w:r w:rsidRPr="00942CD5">
        <w:rPr>
          <w:u w:val="single"/>
        </w:rPr>
        <w:t>Of the 4.1 billion barrels of oil held in reserves, only 1.4 billion barrels are government controlled. The private sector is more than capable of responding to supply shocks. In fact, holding public reserves may impede the private sector’s response if a company believes a government is going to tap public reserves.</w:t>
      </w:r>
    </w:p>
    <w:p w14:paraId="06630122" w14:textId="1F7C76E3" w:rsidR="00564523" w:rsidRDefault="00564523" w:rsidP="00564523">
      <w:pPr>
        <w:pStyle w:val="Contention2"/>
      </w:pPr>
      <w:bookmarkStart w:id="143" w:name="_Toc22383939"/>
      <w:r>
        <w:t>Government intervention tends to make economic problems worse</w:t>
      </w:r>
      <w:bookmarkEnd w:id="143"/>
      <w:r>
        <w:t xml:space="preserve"> </w:t>
      </w:r>
    </w:p>
    <w:p w14:paraId="1F2F1832" w14:textId="77777777" w:rsidR="00564523" w:rsidRPr="001A55A4" w:rsidRDefault="00564523" w:rsidP="00564523">
      <w:pPr>
        <w:pStyle w:val="Citation3"/>
      </w:pPr>
      <w:bookmarkStart w:id="144" w:name="_Toc14106053"/>
      <w:bookmarkStart w:id="145" w:name="_Toc14111897"/>
      <w:bookmarkStart w:id="146" w:name="_Toc14179382"/>
      <w:bookmarkStart w:id="147" w:name="_Toc22488180"/>
      <w:r w:rsidRPr="001A55A4">
        <w:rPr>
          <w:u w:val="single"/>
        </w:rPr>
        <w:t>Christine Harbin</w:t>
      </w:r>
      <w:r>
        <w:rPr>
          <w:u w:val="single"/>
        </w:rPr>
        <w:t xml:space="preserve"> 2012 (</w:t>
      </w:r>
      <w:r w:rsidRPr="001A55A4">
        <w:t>Senior Advisor for External Affairs fo</w:t>
      </w:r>
      <w:r>
        <w:t>r the Office of Electricity</w:t>
      </w:r>
      <w:r w:rsidRPr="001A55A4">
        <w:t xml:space="preserve"> and the Office of Cybersecurity, Energy Securi</w:t>
      </w:r>
      <w:r>
        <w:t xml:space="preserve">ty and Emergency Response </w:t>
      </w:r>
      <w:r w:rsidRPr="001A55A4">
        <w:t>at the U.S. Department of Energy</w:t>
      </w:r>
      <w:r>
        <w:t xml:space="preserve">; </w:t>
      </w:r>
      <w:r w:rsidRPr="001A55A4">
        <w:t>She has also held policy roles at the American Legislative Exchange Council; the Show-Me Institute, a Missouri-based think tank; and the White House N</w:t>
      </w:r>
      <w:r>
        <w:t>ational Economic Council) 6 February 2012 “</w:t>
      </w:r>
      <w:r w:rsidRPr="001A55A4">
        <w:t>Government Should Not Regulate the Free Market</w:t>
      </w:r>
      <w:r>
        <w:t xml:space="preserve">” </w:t>
      </w:r>
      <w:hyperlink r:id="rId27" w:history="1">
        <w:r w:rsidRPr="001A55A4">
          <w:rPr>
            <w:rStyle w:val="Hyperlink"/>
          </w:rPr>
          <w:t>https://www.mic.com/articles/3922/government-should-not-regulate-the-free-market</w:t>
        </w:r>
        <w:bookmarkEnd w:id="144"/>
        <w:bookmarkEnd w:id="145"/>
        <w:bookmarkEnd w:id="146"/>
        <w:bookmarkEnd w:id="147"/>
      </w:hyperlink>
    </w:p>
    <w:p w14:paraId="6CBFFB65" w14:textId="77777777" w:rsidR="00564523" w:rsidRDefault="00564523" w:rsidP="00564523">
      <w:pPr>
        <w:pStyle w:val="Evidence"/>
      </w:pPr>
      <w:r w:rsidRPr="001A55A4">
        <w:t>Government tends to make problems worse. When government officials step in and regulate the free market, they cause new problems. As Nobel Laureate Milton Friedman remarked, "I think the government solution to a problem is usually as bad as the problem and very often makes the problem worse." For example, federal subsidies for fossil fuels lead to more carbon pollution. If the government hadn’t intervened in the first place, then climate change wouldn’t be the big problem that we know today.</w:t>
      </w:r>
    </w:p>
    <w:p w14:paraId="430B1031" w14:textId="77777777" w:rsidR="00564523" w:rsidRDefault="00564523" w:rsidP="00D900E8">
      <w:pPr>
        <w:pStyle w:val="Evidence"/>
        <w:rPr>
          <w:u w:val="single"/>
        </w:rPr>
      </w:pPr>
    </w:p>
    <w:p w14:paraId="5CEEA502" w14:textId="051CE1D8" w:rsidR="001C27E0" w:rsidRDefault="001C27E0" w:rsidP="00EA1B44">
      <w:pPr>
        <w:pStyle w:val="Contention1"/>
      </w:pPr>
      <w:bookmarkStart w:id="148" w:name="_Toc22383940"/>
      <w:r>
        <w:lastRenderedPageBreak/>
        <w:t>Cost to taxpayers</w:t>
      </w:r>
      <w:bookmarkEnd w:id="148"/>
    </w:p>
    <w:p w14:paraId="4A3D1FE2" w14:textId="77777777" w:rsidR="001C27E0" w:rsidRDefault="001C27E0" w:rsidP="001C27E0">
      <w:pPr>
        <w:pStyle w:val="Contention2"/>
        <w:ind w:left="0"/>
      </w:pPr>
      <w:bookmarkStart w:id="149" w:name="_Toc22383941"/>
      <w:r>
        <w:t>$375 million are needed for upgrades</w:t>
      </w:r>
      <w:bookmarkEnd w:id="149"/>
    </w:p>
    <w:p w14:paraId="25FCF8FF" w14:textId="77777777" w:rsidR="001C27E0" w:rsidRPr="001B3BAD" w:rsidRDefault="001C27E0" w:rsidP="001C27E0">
      <w:pPr>
        <w:pStyle w:val="Citation3"/>
      </w:pPr>
      <w:bookmarkStart w:id="150" w:name="_Toc14023341"/>
      <w:bookmarkStart w:id="151" w:name="_Toc14092252"/>
      <w:bookmarkStart w:id="152" w:name="_Toc14093381"/>
      <w:bookmarkStart w:id="153" w:name="_Toc14094554"/>
      <w:bookmarkStart w:id="154" w:name="_Toc14095581"/>
      <w:bookmarkStart w:id="155" w:name="_Toc14106038"/>
      <w:bookmarkStart w:id="156" w:name="_Toc14111903"/>
      <w:bookmarkStart w:id="157" w:name="_Toc14179396"/>
      <w:bookmarkStart w:id="158" w:name="_Toc22488181"/>
      <w:r w:rsidRPr="001B3BAD">
        <w:rPr>
          <w:u w:val="single"/>
        </w:rPr>
        <w:t>James Osborne</w:t>
      </w:r>
      <w:r>
        <w:rPr>
          <w:u w:val="single"/>
        </w:rPr>
        <w:t xml:space="preserve"> 2016 </w:t>
      </w:r>
      <w:r>
        <w:t>(</w:t>
      </w:r>
      <w:r w:rsidRPr="001B3BAD">
        <w:t>covers the inters</w:t>
      </w:r>
      <w:r>
        <w:t>ection of energy and politics f</w:t>
      </w:r>
      <w:r w:rsidRPr="001B3BAD">
        <w:t>o</w:t>
      </w:r>
      <w:r>
        <w:t>r</w:t>
      </w:r>
      <w:r w:rsidRPr="001B3BAD">
        <w:t xml:space="preserve"> the Houston Chronicle</w:t>
      </w:r>
      <w:r>
        <w:t>) 9 September 2016 “</w:t>
      </w:r>
      <w:r w:rsidRPr="001B3BAD">
        <w:t>Is the Strategic Petroleum Reserve worth the cost?</w:t>
      </w:r>
      <w:r>
        <w:t xml:space="preserve">” </w:t>
      </w:r>
      <w:hyperlink r:id="rId28" w:history="1">
        <w:r w:rsidRPr="001B3BAD">
          <w:rPr>
            <w:rStyle w:val="Hyperlink"/>
          </w:rPr>
          <w:t>https://www.houstonchronicle.com/business/article/Is-the-Strategic-Petroleum-Reserve-worth-the-cost-9214328.php</w:t>
        </w:r>
        <w:bookmarkEnd w:id="150"/>
        <w:bookmarkEnd w:id="151"/>
        <w:bookmarkEnd w:id="152"/>
        <w:bookmarkEnd w:id="153"/>
        <w:bookmarkEnd w:id="154"/>
        <w:bookmarkEnd w:id="155"/>
        <w:bookmarkEnd w:id="156"/>
        <w:bookmarkEnd w:id="157"/>
        <w:bookmarkEnd w:id="158"/>
      </w:hyperlink>
    </w:p>
    <w:p w14:paraId="74E90495" w14:textId="2E0FBE31" w:rsidR="001C27E0" w:rsidRDefault="001C27E0" w:rsidP="001C27E0">
      <w:pPr>
        <w:pStyle w:val="Evidence"/>
      </w:pPr>
      <w:r w:rsidRPr="001B3BAD">
        <w:t xml:space="preserve">That's a question getting asked more and more in Washington </w:t>
      </w:r>
      <w:r w:rsidRPr="001B3BAD">
        <w:rPr>
          <w:u w:val="single"/>
        </w:rPr>
        <w:t>as revived domestic production makes the nation less dependent on foreign oil,</w:t>
      </w:r>
      <w:r w:rsidRPr="001B3BAD">
        <w:t xml:space="preserve"> and </w:t>
      </w:r>
      <w:r w:rsidRPr="001B3BAD">
        <w:rPr>
          <w:u w:val="single"/>
        </w:rPr>
        <w:t>the Department of Energy, which oversees the Strategic Petroleum Reserve, seeks more than $375 million to overhaul and upgrade the reserve's aging pipelines, pumps, storage areas and transportation facilities.</w:t>
      </w:r>
      <w:r w:rsidRPr="001B3BAD">
        <w:t xml:space="preserve"> The reserve was created after the 1973 Arab oil embargo as a way to ease shortages and price shocks by adding oil to the marketplace should war, future embargoes, natural disasters or other international incidents interrupt supplies.</w:t>
      </w:r>
    </w:p>
    <w:p w14:paraId="2D001B65" w14:textId="2C903A04" w:rsidR="00E84804" w:rsidRDefault="00E84804" w:rsidP="00E84804">
      <w:pPr>
        <w:pStyle w:val="Contention2"/>
      </w:pPr>
      <w:bookmarkStart w:id="159" w:name="_Toc22383942"/>
      <w:r>
        <w:t>$27.5 billion spent so far, and $250 million/year in ongoing costs</w:t>
      </w:r>
      <w:bookmarkEnd w:id="159"/>
    </w:p>
    <w:p w14:paraId="55CE8F31" w14:textId="77777777" w:rsidR="00E84804" w:rsidRDefault="00E84804" w:rsidP="00E84804">
      <w:pPr>
        <w:pStyle w:val="Citation3"/>
      </w:pPr>
      <w:bookmarkStart w:id="160" w:name="_Toc14111898"/>
      <w:bookmarkStart w:id="161" w:name="_Toc14179383"/>
      <w:bookmarkStart w:id="162" w:name="_Toc22488182"/>
      <w:r w:rsidRPr="006A399D">
        <w:rPr>
          <w:u w:val="single"/>
        </w:rPr>
        <w:t>Nicolas Loris,</w:t>
      </w:r>
      <w:r>
        <w:rPr>
          <w:u w:val="single"/>
        </w:rPr>
        <w:t xml:space="preserve"> </w:t>
      </w:r>
      <w:r w:rsidRPr="006A399D">
        <w:rPr>
          <w:u w:val="single"/>
        </w:rPr>
        <w:t>2015</w:t>
      </w:r>
      <w: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hyperlink r:id="rId29" w:history="1">
        <w:r w:rsidRPr="00CB05F3">
          <w:rPr>
            <w:rStyle w:val="Hyperlink"/>
          </w:rPr>
          <w:t>https://www.heritage.org/environment/report/why-congress-should-pull-the-plug-the-strategic-petroleum-reserve</w:t>
        </w:r>
        <w:bookmarkEnd w:id="160"/>
        <w:bookmarkEnd w:id="161"/>
        <w:bookmarkEnd w:id="162"/>
      </w:hyperlink>
      <w:r>
        <w:t xml:space="preserve"> </w:t>
      </w:r>
    </w:p>
    <w:p w14:paraId="70583F89" w14:textId="77777777" w:rsidR="00E84804" w:rsidRDefault="00E84804" w:rsidP="00E84804">
      <w:pPr>
        <w:pStyle w:val="Evidence"/>
      </w:pPr>
      <w:r>
        <w:t xml:space="preserve">According to the DOE’s Office of Fossil Energy, the average cost of crude in the reserve is approximately $29.70 per barrel. </w:t>
      </w:r>
      <w:r w:rsidRPr="006A399D">
        <w:rPr>
          <w:u w:val="single"/>
        </w:rPr>
        <w:t>To date, the taxpayer money spent on the SPR is about $27.5 billion, $5 billion invested in facilities and the remaining $20.7 billion in oil stocks. The cost of maintaining the SPR</w:t>
      </w:r>
      <w:r w:rsidRPr="00FC35BA">
        <w:t xml:space="preserve">, developing and maintaining storage facilities, operational readiness for withdrawal, placing petroleum into storage, and personnel and administration expenses </w:t>
      </w:r>
      <w:r w:rsidRPr="006A399D">
        <w:rPr>
          <w:u w:val="single"/>
        </w:rPr>
        <w:t>was $200 million in 2015, and the budget request for fiscal year 2016 is $257 million</w:t>
      </w:r>
      <w:r>
        <w:t xml:space="preserve">. </w:t>
      </w:r>
    </w:p>
    <w:p w14:paraId="146266CF" w14:textId="179DA1D3" w:rsidR="00EA1B44" w:rsidRDefault="00AB7B3E" w:rsidP="00EA1B44">
      <w:pPr>
        <w:pStyle w:val="Contention1"/>
      </w:pPr>
      <w:bookmarkStart w:id="163" w:name="_Toc22383943"/>
      <w:r>
        <w:t xml:space="preserve">Political Purposes / </w:t>
      </w:r>
      <w:r w:rsidR="00EA1B44">
        <w:t>Market Manipulation</w:t>
      </w:r>
      <w:bookmarkEnd w:id="163"/>
    </w:p>
    <w:p w14:paraId="70DF5199" w14:textId="5CA044BB" w:rsidR="00EA1B44" w:rsidRDefault="00EA1B44" w:rsidP="00EA1B44">
      <w:pPr>
        <w:pStyle w:val="Contention2"/>
      </w:pPr>
      <w:bookmarkStart w:id="164" w:name="_Toc22383944"/>
      <w:r>
        <w:t>Federal government isn’t smart enough to know how/when to sell oil better than free markets could</w:t>
      </w:r>
      <w:bookmarkEnd w:id="164"/>
    </w:p>
    <w:p w14:paraId="110CD41C" w14:textId="73BF4AF1" w:rsidR="00EA1B44" w:rsidRPr="00FF7E27" w:rsidRDefault="00EA1B44" w:rsidP="00EA1B44">
      <w:pPr>
        <w:pStyle w:val="Citation3"/>
      </w:pPr>
      <w:bookmarkStart w:id="165" w:name="_Toc22488183"/>
      <w:r w:rsidRPr="00FF7E27">
        <w:rPr>
          <w:rStyle w:val="Emphasis"/>
          <w:i/>
          <w:iCs w:val="0"/>
          <w:u w:val="single"/>
        </w:rPr>
        <w:t xml:space="preserve">Prof. Jason </w:t>
      </w:r>
      <w:proofErr w:type="spellStart"/>
      <w:r w:rsidRPr="00FF7E27">
        <w:rPr>
          <w:rStyle w:val="Emphasis"/>
          <w:i/>
          <w:iCs w:val="0"/>
          <w:u w:val="single"/>
        </w:rPr>
        <w:t>Bordoff</w:t>
      </w:r>
      <w:proofErr w:type="spellEnd"/>
      <w:r w:rsidRPr="00FF7E27">
        <w:rPr>
          <w:rStyle w:val="Emphasis"/>
          <w:i/>
          <w:iCs w:val="0"/>
          <w:u w:val="single"/>
        </w:rPr>
        <w:t xml:space="preserve"> 2016</w:t>
      </w:r>
      <w:r w:rsidRPr="00FF7E27">
        <w:rPr>
          <w:rStyle w:val="Emphasis"/>
          <w:i/>
          <w:iCs w:val="0"/>
        </w:rPr>
        <w:t xml:space="preserve"> (professor of professional practice and founding director of the Center on Global Energy Policy at Columbia University’s School of International and Public Affairs) 15 June 2016 </w:t>
      </w:r>
      <w:r w:rsidRPr="00FF7E27">
        <w:t>The Strategic Petroleum Reserve: A Policy Response to Oil Price Volatility?</w:t>
      </w:r>
      <w:r w:rsidR="00723C19">
        <w:t xml:space="preserve"> </w:t>
      </w:r>
      <w:hyperlink r:id="rId30" w:history="1">
        <w:r w:rsidR="00723C19" w:rsidRPr="001C3AE0">
          <w:rPr>
            <w:rStyle w:val="Hyperlink"/>
          </w:rPr>
          <w:t>https://www.cfr.org/blog/strategic-petroleum-reserve-policy-response-oil-price-volatility</w:t>
        </w:r>
        <w:bookmarkEnd w:id="165"/>
      </w:hyperlink>
      <w:r w:rsidR="00723C19">
        <w:rPr>
          <w:u w:color="7F7F7F"/>
        </w:rPr>
        <w:t xml:space="preserve"> </w:t>
      </w:r>
      <w:r w:rsidR="00723C19">
        <w:rPr>
          <w:rStyle w:val="Hyperlink"/>
          <w:color w:val="auto"/>
          <w:u w:val="none"/>
        </w:rPr>
        <w:t xml:space="preserve"> </w:t>
      </w:r>
    </w:p>
    <w:p w14:paraId="5434F646" w14:textId="39EF06EF" w:rsidR="00EA1B44" w:rsidRDefault="00EA1B44" w:rsidP="00EA1B44">
      <w:pPr>
        <w:pStyle w:val="Evidence"/>
      </w:pPr>
      <w:r w:rsidRPr="00EA1B44">
        <w:rPr>
          <w:rStyle w:val="Strong"/>
          <w:b w:val="0"/>
          <w:bCs/>
        </w:rPr>
        <w:t>Second</w:t>
      </w:r>
      <w:r w:rsidRPr="00EA1B44">
        <w:t>, it is not clear whether the U.S. government (or any entity, for that matter) has the necessary expertise to ascertain the causes of near-term oil price volatility, assess the role of supply and demand dynamics vs. other factors like financial speculation, and understand the effects of geopolitical and market conditions in important producing countries. Leading market analysts consistently demonstrate their inability to predict price movements and often confess difficulty in explaining current market shifts. The U.S. government may have officials with experience analyzing the global oil market (as with the current Administrator of the EIA), but often that is not the case, especially among the political appointees making the ultimate decision about SPR use.</w:t>
      </w:r>
    </w:p>
    <w:p w14:paraId="21E9DEE2" w14:textId="65707604" w:rsidR="00EA1B44" w:rsidRDefault="00EA1B44" w:rsidP="00EA1B44">
      <w:pPr>
        <w:pStyle w:val="Contention2"/>
      </w:pPr>
      <w:bookmarkStart w:id="166" w:name="_Toc22383945"/>
      <w:r>
        <w:t>SPR vulnerable to political pressure to manipulate oil prices</w:t>
      </w:r>
      <w:bookmarkEnd w:id="166"/>
    </w:p>
    <w:p w14:paraId="72A12206" w14:textId="2D0EEEBB" w:rsidR="00EA1B44" w:rsidRPr="00FF7E27" w:rsidRDefault="00EA1B44" w:rsidP="00EA1B44">
      <w:pPr>
        <w:pStyle w:val="Citation3"/>
      </w:pPr>
      <w:bookmarkStart w:id="167" w:name="_Toc22488184"/>
      <w:r w:rsidRPr="00FF7E27">
        <w:rPr>
          <w:rStyle w:val="Emphasis"/>
          <w:i/>
          <w:iCs w:val="0"/>
          <w:u w:val="single"/>
        </w:rPr>
        <w:t xml:space="preserve">Prof. Jason </w:t>
      </w:r>
      <w:proofErr w:type="spellStart"/>
      <w:r w:rsidRPr="00FF7E27">
        <w:rPr>
          <w:rStyle w:val="Emphasis"/>
          <w:i/>
          <w:iCs w:val="0"/>
          <w:u w:val="single"/>
        </w:rPr>
        <w:t>Bordoff</w:t>
      </w:r>
      <w:proofErr w:type="spellEnd"/>
      <w:r w:rsidRPr="00FF7E27">
        <w:rPr>
          <w:rStyle w:val="Emphasis"/>
          <w:i/>
          <w:iCs w:val="0"/>
          <w:u w:val="single"/>
        </w:rPr>
        <w:t xml:space="preserve"> 2016</w:t>
      </w:r>
      <w:r w:rsidRPr="00FF7E27">
        <w:rPr>
          <w:rStyle w:val="Emphasis"/>
          <w:i/>
          <w:iCs w:val="0"/>
        </w:rPr>
        <w:t xml:space="preserve"> (professor of professional practice and founding director of the Center on Global Energy Policy at Columbia University’s School of International and Public Affairs) 15 June 2016 </w:t>
      </w:r>
      <w:r w:rsidRPr="00FF7E27">
        <w:t>The Strategic Petroleum Reserve: A Policy Response to Oil Price Volatility?</w:t>
      </w:r>
      <w:r w:rsidR="00723C19">
        <w:t xml:space="preserve"> </w:t>
      </w:r>
      <w:hyperlink r:id="rId31" w:history="1">
        <w:r w:rsidR="00723C19" w:rsidRPr="001C3AE0">
          <w:rPr>
            <w:rStyle w:val="Hyperlink"/>
          </w:rPr>
          <w:t>https://www.cfr.org/blog/strategic-petroleum-reserve-policy-response-oil-price-volatility</w:t>
        </w:r>
        <w:bookmarkEnd w:id="167"/>
      </w:hyperlink>
      <w:r w:rsidR="00723C19">
        <w:rPr>
          <w:u w:color="7F7F7F"/>
        </w:rPr>
        <w:t xml:space="preserve"> </w:t>
      </w:r>
      <w:r w:rsidR="00723C19">
        <w:rPr>
          <w:rStyle w:val="Hyperlink"/>
          <w:color w:val="auto"/>
          <w:u w:val="none"/>
        </w:rPr>
        <w:t xml:space="preserve"> </w:t>
      </w:r>
    </w:p>
    <w:p w14:paraId="719BA198" w14:textId="65618BB6" w:rsidR="00EA1B44" w:rsidRDefault="00EA1B44" w:rsidP="00EA1B44">
      <w:pPr>
        <w:pStyle w:val="Evidence"/>
      </w:pPr>
      <w:r w:rsidRPr="00EA1B44">
        <w:t>Third, explicitly using the SPR to mitigate price volatility would likely lead to intense political pressure being brought to bear on policymakers to cushion high gasoline prices (conversely, producing states and firms may discourage policymakers from permitting very low prices, as in today’s environment). High gasoline prices, especially in an election year, often become hot-button issues and lead to calls to tap the SPR.</w:t>
      </w:r>
    </w:p>
    <w:p w14:paraId="7FB4A8BD" w14:textId="77777777" w:rsidR="00AB7B3E" w:rsidRDefault="00AB7B3E" w:rsidP="00AB7B3E">
      <w:pPr>
        <w:pStyle w:val="Contention2"/>
      </w:pPr>
      <w:bookmarkStart w:id="168" w:name="_Toc22383946"/>
      <w:r>
        <w:lastRenderedPageBreak/>
        <w:t>SPR is used for political purposes</w:t>
      </w:r>
      <w:bookmarkEnd w:id="168"/>
    </w:p>
    <w:p w14:paraId="50BA5F48" w14:textId="180CC3A6" w:rsidR="00AB7B3E" w:rsidRDefault="00AB7B3E" w:rsidP="00AB7B3E">
      <w:pPr>
        <w:pStyle w:val="Citation3"/>
      </w:pPr>
      <w:bookmarkStart w:id="169" w:name="_Toc22488185"/>
      <w:r w:rsidRPr="006A399D">
        <w:rPr>
          <w:u w:val="single"/>
        </w:rPr>
        <w:t>Nicolas Loris,</w:t>
      </w:r>
      <w:r>
        <w:rPr>
          <w:u w:val="single"/>
        </w:rPr>
        <w:t xml:space="preserve"> </w:t>
      </w:r>
      <w:r w:rsidRPr="006A399D">
        <w:rPr>
          <w:u w:val="single"/>
        </w:rPr>
        <w:t>2015</w:t>
      </w:r>
      <w: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hyperlink r:id="rId32" w:history="1">
        <w:r w:rsidR="00723C19" w:rsidRPr="001C3AE0">
          <w:rPr>
            <w:rStyle w:val="Hyperlink"/>
          </w:rPr>
          <w:t>https://www.heritage.org/environment/report/why-congress-should-pull-the-plug-the-strategic-petroleum-reserve</w:t>
        </w:r>
        <w:bookmarkEnd w:id="169"/>
      </w:hyperlink>
      <w:r w:rsidR="00723C19">
        <w:t xml:space="preserve"> </w:t>
      </w:r>
    </w:p>
    <w:p w14:paraId="18E63A7B" w14:textId="77777777" w:rsidR="00AB7B3E" w:rsidRDefault="00AB7B3E" w:rsidP="00AB7B3E">
      <w:pPr>
        <w:pStyle w:val="Evidence"/>
      </w:pPr>
      <w:r>
        <w:t>The Energy Policy and Conservation Act constrains the President’s authorities to release the reserves; the problem, however, is that the limitations and conditions for SPR drawdowns are not credible justifications for the reserve’s existence. Furthermore, the executive branch can interpret the conditions rather vaguely, making an SPR release more about domestic party politics than policy. For instance, even though drawing down SPR reserves may have little market effect, it could help a President obtain favorable polling from the public by creating the perception that the Administration is “doing something” about an alleged crisis.</w:t>
      </w:r>
    </w:p>
    <w:p w14:paraId="5A4CF250" w14:textId="3BFE5039" w:rsidR="00FC5429" w:rsidRDefault="00FC5429" w:rsidP="00FC5429">
      <w:pPr>
        <w:pStyle w:val="Contention2"/>
      </w:pPr>
      <w:bookmarkStart w:id="170" w:name="_Toc22383947"/>
      <w:r>
        <w:t>Example:</w:t>
      </w:r>
      <w:r w:rsidR="00723C19">
        <w:t xml:space="preserve"> </w:t>
      </w:r>
      <w:r>
        <w:t xml:space="preserve">Obama in 2011 – released SPR oil </w:t>
      </w:r>
      <w:r w:rsidR="00D439DF">
        <w:t xml:space="preserve">for political reasons, </w:t>
      </w:r>
      <w:r>
        <w:t>to bring down prices, not because of any emergency</w:t>
      </w:r>
      <w:bookmarkEnd w:id="170"/>
    </w:p>
    <w:p w14:paraId="2D18C3FE" w14:textId="77E3683F" w:rsidR="00D439DF" w:rsidRPr="00D439DF" w:rsidRDefault="00D439DF" w:rsidP="00D439DF">
      <w:pPr>
        <w:pStyle w:val="Citation3"/>
      </w:pPr>
      <w:bookmarkStart w:id="171" w:name="_Toc22488186"/>
      <w:r w:rsidRPr="00D439DF">
        <w:rPr>
          <w:u w:val="single"/>
        </w:rPr>
        <w:t>Sen. Rob Portman 2011</w:t>
      </w:r>
      <w:r w:rsidRPr="00D439DF">
        <w:t xml:space="preserve"> (US senator from Ohio)</w:t>
      </w:r>
      <w:r w:rsidR="00723C19">
        <w:t xml:space="preserve"> </w:t>
      </w:r>
      <w:r w:rsidRPr="00D439DF">
        <w:t>24 June 2011 “Portman: Releasing Oil from SPR is Political, Not a Long-Term Energy Solution”</w:t>
      </w:r>
      <w:r w:rsidR="00723C19">
        <w:t xml:space="preserve"> </w:t>
      </w:r>
      <w:hyperlink r:id="rId33" w:history="1">
        <w:r w:rsidR="00723C19" w:rsidRPr="001C3AE0">
          <w:rPr>
            <w:rStyle w:val="Hyperlink"/>
          </w:rPr>
          <w:t>https://www.portman.senate.gov/newsroom/press-releases/portman-releasing-oil-spr-political-not-long-term-energy-solution</w:t>
        </w:r>
        <w:bookmarkEnd w:id="171"/>
      </w:hyperlink>
      <w:r w:rsidR="00723C19">
        <w:rPr>
          <w:u w:color="7F7F7F"/>
        </w:rPr>
        <w:t xml:space="preserve"> </w:t>
      </w:r>
      <w:r w:rsidR="00723C19">
        <w:rPr>
          <w:rStyle w:val="Hyperlink"/>
          <w:color w:val="auto"/>
          <w:u w:val="none"/>
        </w:rPr>
        <w:t xml:space="preserve"> </w:t>
      </w:r>
    </w:p>
    <w:p w14:paraId="5CC37B23" w14:textId="7409BBDE" w:rsidR="00FC5429" w:rsidRPr="00FC5429" w:rsidRDefault="00FC5429" w:rsidP="00FC5429">
      <w:pPr>
        <w:pStyle w:val="Evidence"/>
      </w:pPr>
      <w:r w:rsidRPr="00FC5429">
        <w:t xml:space="preserve">U.S. </w:t>
      </w:r>
      <w:r w:rsidRPr="00D439DF">
        <w:rPr>
          <w:u w:val="single"/>
        </w:rPr>
        <w:t>Senator Rob Portman</w:t>
      </w:r>
      <w:r w:rsidRPr="00FC5429">
        <w:t xml:space="preserve"> (R-Ohio), </w:t>
      </w:r>
      <w:r w:rsidRPr="00D439DF">
        <w:rPr>
          <w:u w:val="single"/>
        </w:rPr>
        <w:t>a member of the Energy and Natural Resources Committee</w:t>
      </w:r>
      <w:r w:rsidRPr="00FC5429">
        <w:t xml:space="preserve">, today </w:t>
      </w:r>
      <w:r w:rsidRPr="00D439DF">
        <w:rPr>
          <w:u w:val="single"/>
        </w:rPr>
        <w:t>said that the Obama Administration’s decision to release 30 million barrels of oil from the</w:t>
      </w:r>
      <w:r w:rsidRPr="00FC5429">
        <w:t xml:space="preserve"> Strategic Petroleum Reserve </w:t>
      </w:r>
      <w:r w:rsidRPr="00D439DF">
        <w:rPr>
          <w:u w:val="single"/>
        </w:rPr>
        <w:t>(SPR) is a political decision intended to give the appearance of addressing energy prices, not a long-term energy solution</w:t>
      </w:r>
      <w:r w:rsidRPr="00FC5429">
        <w:t xml:space="preserve">. “I’m glad the Administration has acknowledged that Americans are hurting at the pump and that high gas prices are slowing economic development and job creation,” said Portman. “But the release of 30 million barrels of oil from the SPR is a political decision, not a long-term solution. </w:t>
      </w:r>
      <w:r w:rsidRPr="00D439DF">
        <w:rPr>
          <w:u w:val="single"/>
        </w:rPr>
        <w:t>The reserve has only been tapped twice in the past 20 years, once for a natural disaster, and the other time for a military conflict.</w:t>
      </w:r>
      <w:r w:rsidR="00723C19">
        <w:rPr>
          <w:u w:val="single"/>
        </w:rPr>
        <w:t xml:space="preserve"> </w:t>
      </w:r>
      <w:r w:rsidRPr="00D439DF">
        <w:rPr>
          <w:u w:val="single"/>
        </w:rPr>
        <w:t>This is the first time the reserve has been tapped in response to prices at the pump</w:t>
      </w:r>
      <w:r w:rsidRPr="00FC5429">
        <w:t>. </w:t>
      </w:r>
    </w:p>
    <w:p w14:paraId="6351DECE" w14:textId="13DDF0A2" w:rsidR="00B64449" w:rsidRDefault="009B0CC2" w:rsidP="00B64449">
      <w:pPr>
        <w:pStyle w:val="Contention1"/>
      </w:pPr>
      <w:bookmarkStart w:id="172" w:name="_Toc22383948"/>
      <w:r>
        <w:t>SOLVENC</w:t>
      </w:r>
      <w:r w:rsidR="00EA1B44">
        <w:t>Y / ADVOCACY</w:t>
      </w:r>
      <w:bookmarkEnd w:id="172"/>
    </w:p>
    <w:p w14:paraId="6884F2D2" w14:textId="084EF238" w:rsidR="0034603A" w:rsidRDefault="00CB458D" w:rsidP="0034603A">
      <w:pPr>
        <w:pStyle w:val="Contention2"/>
      </w:pPr>
      <w:bookmarkStart w:id="173" w:name="_Toc22383949"/>
      <w:r>
        <w:t>Selling</w:t>
      </w:r>
      <w:r w:rsidR="0034603A">
        <w:t xml:space="preserve"> half the SPR would generate $16 billion</w:t>
      </w:r>
      <w:bookmarkEnd w:id="173"/>
      <w:r w:rsidR="0034603A">
        <w:t xml:space="preserve"> </w:t>
      </w:r>
    </w:p>
    <w:p w14:paraId="3EA200FC" w14:textId="52C0D788" w:rsidR="0034603A" w:rsidRPr="0034603A" w:rsidRDefault="0034603A" w:rsidP="0034603A">
      <w:pPr>
        <w:pStyle w:val="Citation3"/>
      </w:pPr>
      <w:bookmarkStart w:id="174" w:name="_Toc14023346"/>
      <w:bookmarkStart w:id="175" w:name="_Toc14092257"/>
      <w:bookmarkStart w:id="176" w:name="_Toc14093386"/>
      <w:bookmarkStart w:id="177" w:name="_Toc14094560"/>
      <w:bookmarkStart w:id="178" w:name="_Toc14095588"/>
      <w:bookmarkStart w:id="179" w:name="_Toc14106054"/>
      <w:bookmarkStart w:id="180" w:name="_Toc14111912"/>
      <w:bookmarkStart w:id="181" w:name="_Toc14179397"/>
      <w:bookmarkStart w:id="182" w:name="_Toc22488187"/>
      <w:r w:rsidRPr="0034603A">
        <w:rPr>
          <w:u w:val="single"/>
        </w:rPr>
        <w:t xml:space="preserve">Catherine </w:t>
      </w:r>
      <w:proofErr w:type="spellStart"/>
      <w:r w:rsidRPr="0034603A">
        <w:rPr>
          <w:u w:val="single"/>
        </w:rPr>
        <w:t>Traywick</w:t>
      </w:r>
      <w:proofErr w:type="spellEnd"/>
      <w:r w:rsidR="00723C19">
        <w:rPr>
          <w:u w:val="single"/>
        </w:rPr>
        <w:t xml:space="preserve"> </w:t>
      </w:r>
      <w:r w:rsidRPr="0034603A">
        <w:rPr>
          <w:u w:val="single"/>
        </w:rPr>
        <w:t xml:space="preserve">and Jennifer A </w:t>
      </w:r>
      <w:proofErr w:type="spellStart"/>
      <w:r w:rsidRPr="0034603A">
        <w:rPr>
          <w:u w:val="single"/>
        </w:rPr>
        <w:t>Dlouhy</w:t>
      </w:r>
      <w:proofErr w:type="spellEnd"/>
      <w:r>
        <w:rPr>
          <w:u w:val="single"/>
        </w:rPr>
        <w:t xml:space="preserve"> 2017 </w:t>
      </w:r>
      <w:r w:rsidRPr="00CB458D">
        <w:t>(</w:t>
      </w:r>
      <w:proofErr w:type="spellStart"/>
      <w:r w:rsidRPr="00CB458D">
        <w:t>Traywick</w:t>
      </w:r>
      <w:proofErr w:type="spellEnd"/>
      <w:r w:rsidRPr="00CB458D">
        <w:t xml:space="preserve"> - covers oil, gas and power for Bloomberg News </w:t>
      </w:r>
      <w:proofErr w:type="spellStart"/>
      <w:r w:rsidRPr="00CB458D">
        <w:t>Dlouhy</w:t>
      </w:r>
      <w:proofErr w:type="spellEnd"/>
      <w:r w:rsidRPr="00CB458D">
        <w:t xml:space="preserve"> - Energy and environmental policy reporter for Bloomberg News) 22 May 2017 “Trump Proposes Selling Off Half U.S. Strategic Oil Reserve” </w:t>
      </w:r>
      <w:hyperlink r:id="rId34" w:history="1">
        <w:r w:rsidR="00723C19" w:rsidRPr="001C3AE0">
          <w:rPr>
            <w:rStyle w:val="Hyperlink"/>
          </w:rPr>
          <w:t>https://www.bloomberg.com/news/articles/2017-05-23/trump-proposes-selling-off-half-the-u-s-strategic-oil-reserve</w:t>
        </w:r>
        <w:bookmarkEnd w:id="182"/>
      </w:hyperlink>
      <w:bookmarkEnd w:id="174"/>
      <w:bookmarkEnd w:id="175"/>
      <w:bookmarkEnd w:id="176"/>
      <w:bookmarkEnd w:id="177"/>
      <w:bookmarkEnd w:id="178"/>
      <w:bookmarkEnd w:id="179"/>
      <w:bookmarkEnd w:id="180"/>
      <w:bookmarkEnd w:id="181"/>
      <w:r w:rsidR="00723C19">
        <w:t xml:space="preserve">  </w:t>
      </w:r>
    </w:p>
    <w:p w14:paraId="3548A227" w14:textId="7AAC4A0E" w:rsidR="0034603A" w:rsidRDefault="0034603A" w:rsidP="0034603A">
      <w:pPr>
        <w:pStyle w:val="Evidence"/>
        <w:rPr>
          <w:u w:val="single"/>
        </w:rPr>
      </w:pPr>
      <w:r w:rsidRPr="0034603A">
        <w:rPr>
          <w:u w:val="single"/>
        </w:rPr>
        <w:t>The White House plan to trim the national debt includes selling off half of the nation’s emergency oil stockpile and the entire backup gasoline supply,</w:t>
      </w:r>
      <w:r w:rsidRPr="0034603A">
        <w:t xml:space="preserve"> part of a broad series of changes proposed by President Donald Trump to the federal government’s role in energy markets.</w:t>
      </w:r>
      <w:r>
        <w:t xml:space="preserve"> </w:t>
      </w:r>
      <w:r w:rsidRPr="0034603A">
        <w:rPr>
          <w:u w:val="single"/>
        </w:rPr>
        <w:t xml:space="preserve">Trump’s first complete budget proposal, released Tuesday, would raise </w:t>
      </w:r>
      <w:r w:rsidRPr="00CB458D">
        <w:t>$500 million in fiscal year 2018 -- and</w:t>
      </w:r>
      <w:r w:rsidRPr="0034603A">
        <w:rPr>
          <w:u w:val="single"/>
        </w:rPr>
        <w:t xml:space="preserve"> as much $16.6 billion over the next decade -- by drawing down the Strategic Petroleum Reserve.</w:t>
      </w:r>
    </w:p>
    <w:p w14:paraId="556BA44B" w14:textId="02D2930B" w:rsidR="00C36674" w:rsidRDefault="00CB458D" w:rsidP="00C36674">
      <w:pPr>
        <w:pStyle w:val="Contention2"/>
      </w:pPr>
      <w:bookmarkStart w:id="183" w:name="_Toc22383950"/>
      <w:r>
        <w:t>Congress should sell off the</w:t>
      </w:r>
      <w:r w:rsidR="00C36674">
        <w:t xml:space="preserve"> SPR over 2-3 years based on monthly production</w:t>
      </w:r>
      <w:r>
        <w:t>. It</w:t>
      </w:r>
      <w:r w:rsidR="00C36674">
        <w:t xml:space="preserve"> wouldn’t harm the market</w:t>
      </w:r>
      <w:bookmarkEnd w:id="183"/>
    </w:p>
    <w:p w14:paraId="1D8AB85A" w14:textId="7128DD44" w:rsidR="00C36674" w:rsidRDefault="00C36674" w:rsidP="00C36674">
      <w:pPr>
        <w:pStyle w:val="Citation3"/>
      </w:pPr>
      <w:bookmarkStart w:id="184" w:name="_Toc14094574"/>
      <w:bookmarkStart w:id="185" w:name="_Toc14095603"/>
      <w:bookmarkStart w:id="186" w:name="_Toc14106073"/>
      <w:bookmarkStart w:id="187" w:name="_Toc14111900"/>
      <w:bookmarkStart w:id="188" w:name="_Toc14179385"/>
      <w:bookmarkStart w:id="189" w:name="_Toc22488188"/>
      <w:r w:rsidRPr="006A399D">
        <w:rPr>
          <w:u w:val="single"/>
        </w:rPr>
        <w:t>Nicolas Loris,</w:t>
      </w:r>
      <w:r>
        <w:rPr>
          <w:u w:val="single"/>
        </w:rPr>
        <w:t xml:space="preserve"> </w:t>
      </w:r>
      <w:r w:rsidRPr="006A399D">
        <w:rPr>
          <w:u w:val="single"/>
        </w:rPr>
        <w:t>2015</w:t>
      </w:r>
      <w: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hyperlink r:id="rId35" w:history="1">
        <w:r w:rsidR="00723C19" w:rsidRPr="001C3AE0">
          <w:rPr>
            <w:rStyle w:val="Hyperlink"/>
          </w:rPr>
          <w:t>https://www.heritage.org/environment/report/why-congress-should-pull-the-plug-the-strategic-petroleum-reserve</w:t>
        </w:r>
        <w:bookmarkEnd w:id="189"/>
      </w:hyperlink>
      <w:bookmarkEnd w:id="184"/>
      <w:bookmarkEnd w:id="185"/>
      <w:bookmarkEnd w:id="186"/>
      <w:bookmarkEnd w:id="187"/>
      <w:bookmarkEnd w:id="188"/>
      <w:r w:rsidR="00723C19">
        <w:t xml:space="preserve"> </w:t>
      </w:r>
    </w:p>
    <w:p w14:paraId="6DCF05C5" w14:textId="77777777" w:rsidR="00C36674" w:rsidRDefault="00C36674" w:rsidP="00C36674">
      <w:pPr>
        <w:pStyle w:val="Evidence"/>
      </w:pPr>
      <w:r w:rsidRPr="00001AE3">
        <w:t>Congress should authorize the DOE to auction 10 percent of the country’s previous month’s total crude production. Basing the sales on the U.S.’s previous month’s production would allow Congress to drain the SPR over a two-year to three-year timeframe and would do so without disrupting the markets. Congress should then decommission the salt caverns or sell them to the private sector if a commercial interest exists to use the caverns for private inventory.</w:t>
      </w:r>
    </w:p>
    <w:p w14:paraId="3A1D55CC" w14:textId="77777777" w:rsidR="00C36674" w:rsidRDefault="00C36674" w:rsidP="00C36674">
      <w:pPr>
        <w:pStyle w:val="Contention2"/>
      </w:pPr>
      <w:bookmarkStart w:id="190" w:name="_Toc22383951"/>
      <w:r>
        <w:lastRenderedPageBreak/>
        <w:t>Storing the oil costs, but selling brings revenue</w:t>
      </w:r>
      <w:bookmarkEnd w:id="190"/>
      <w:r>
        <w:t xml:space="preserve"> </w:t>
      </w:r>
    </w:p>
    <w:p w14:paraId="12713713" w14:textId="77777777" w:rsidR="00C36674" w:rsidRPr="005964AD" w:rsidRDefault="00C36674" w:rsidP="00C36674">
      <w:pPr>
        <w:pStyle w:val="Citation3"/>
      </w:pPr>
      <w:bookmarkStart w:id="191" w:name="_Toc14106039"/>
      <w:bookmarkStart w:id="192" w:name="_Toc14111899"/>
      <w:bookmarkStart w:id="193" w:name="_Toc14179384"/>
      <w:bookmarkStart w:id="194" w:name="_Toc22488189"/>
      <w:r w:rsidRPr="005964AD">
        <w:rPr>
          <w:u w:val="single"/>
        </w:rPr>
        <w:t>Steve Chapman</w:t>
      </w:r>
      <w:r>
        <w:rPr>
          <w:u w:val="single"/>
        </w:rPr>
        <w:t xml:space="preserve"> 2017 </w:t>
      </w:r>
      <w:r>
        <w:t>(</w:t>
      </w:r>
      <w:r w:rsidRPr="005964AD">
        <w:t>columnist and editorial writer for the Chicago Tribune</w:t>
      </w:r>
      <w:r>
        <w:t>) 26 May 2017 “</w:t>
      </w:r>
      <w:r w:rsidRPr="005964AD">
        <w:t>Why selling off the oil reserve is a good idea</w:t>
      </w:r>
      <w:r>
        <w:t xml:space="preserve">” </w:t>
      </w:r>
      <w:hyperlink r:id="rId36" w:history="1">
        <w:r w:rsidRPr="005964AD">
          <w:rPr>
            <w:rStyle w:val="Hyperlink"/>
          </w:rPr>
          <w:t>https://www.chicagotribune.com/columns/steve-chapman/ct-strategic-petroleum-reserve-oil-chapman-perspec-0528-md-20170526-column.html</w:t>
        </w:r>
        <w:bookmarkEnd w:id="191"/>
        <w:bookmarkEnd w:id="192"/>
        <w:bookmarkEnd w:id="193"/>
        <w:bookmarkEnd w:id="194"/>
      </w:hyperlink>
    </w:p>
    <w:p w14:paraId="1C5A7DB7" w14:textId="77777777" w:rsidR="00C36674" w:rsidRPr="005964AD" w:rsidRDefault="00C36674" w:rsidP="00C36674">
      <w:pPr>
        <w:pStyle w:val="Evidence"/>
        <w:rPr>
          <w:u w:val="single"/>
        </w:rPr>
      </w:pPr>
      <w:proofErr w:type="gramStart"/>
      <w:r w:rsidRPr="005964AD">
        <w:t>So</w:t>
      </w:r>
      <w:proofErr w:type="gramEnd"/>
      <w:r w:rsidRPr="005964AD">
        <w:t xml:space="preserve"> what's the point of having it? </w:t>
      </w:r>
      <w:r w:rsidRPr="005964AD">
        <w:rPr>
          <w:u w:val="single"/>
        </w:rPr>
        <w:t>Maintaining fuel in storage is not free. A 2005 Cato Institute paper by Jerry Taylor and Peter Van Doren put the cost to taxpayers at between $65 and $80 per barrel – and the figure would be higher today. The administration plan, which would mean selling off some 300 million barrels over a decade, promises to bring in more than $16 billion.</w:t>
      </w:r>
    </w:p>
    <w:p w14:paraId="43BF1923" w14:textId="77777777" w:rsidR="00C36674" w:rsidRDefault="00C36674" w:rsidP="00C36674">
      <w:pPr>
        <w:pStyle w:val="Contention2"/>
      </w:pPr>
      <w:bookmarkStart w:id="195" w:name="_Toc22383952"/>
      <w:r>
        <w:t>Removing the hydrogen sulfide is possible, it just takes time</w:t>
      </w:r>
      <w:bookmarkEnd w:id="195"/>
    </w:p>
    <w:p w14:paraId="15343E57" w14:textId="77777777" w:rsidR="00C36674" w:rsidRPr="00D64490" w:rsidRDefault="00C36674" w:rsidP="00C36674">
      <w:pPr>
        <w:pStyle w:val="Citation3"/>
      </w:pPr>
      <w:bookmarkStart w:id="196" w:name="_Toc14023344"/>
      <w:bookmarkStart w:id="197" w:name="_Toc14092255"/>
      <w:bookmarkStart w:id="198" w:name="_Toc14093384"/>
      <w:bookmarkStart w:id="199" w:name="_Toc14094557"/>
      <w:bookmarkStart w:id="200" w:name="_Toc14095584"/>
      <w:bookmarkStart w:id="201" w:name="_Toc14106046"/>
      <w:bookmarkStart w:id="202" w:name="_Toc14111901"/>
      <w:bookmarkStart w:id="203" w:name="_Toc14179386"/>
      <w:bookmarkStart w:id="204" w:name="_Toc22488190"/>
      <w:r w:rsidRPr="00D64490">
        <w:rPr>
          <w:u w:val="single"/>
        </w:rPr>
        <w:t>Catherine Ngai 2019</w:t>
      </w:r>
      <w:r w:rsidRPr="00D64490">
        <w:t xml:space="preserve"> (Energy markets reporter at Bloomberg) 15 April 2019 “Contaminated Oil Linked to U.S. Reserves Raises Safety Concerns” </w:t>
      </w:r>
      <w:hyperlink r:id="rId37" w:history="1">
        <w:r w:rsidRPr="00D64490">
          <w:rPr>
            <w:rStyle w:val="Hyperlink"/>
            <w:color w:val="auto"/>
            <w:u w:val="none"/>
          </w:rPr>
          <w:t>https://www.insurancejournal.com/news/national/2019/04/15/523778.htm</w:t>
        </w:r>
        <w:bookmarkEnd w:id="196"/>
        <w:bookmarkEnd w:id="197"/>
        <w:bookmarkEnd w:id="198"/>
        <w:bookmarkEnd w:id="199"/>
        <w:bookmarkEnd w:id="200"/>
        <w:bookmarkEnd w:id="201"/>
        <w:bookmarkEnd w:id="202"/>
        <w:bookmarkEnd w:id="203"/>
        <w:bookmarkEnd w:id="204"/>
      </w:hyperlink>
    </w:p>
    <w:p w14:paraId="1048554B" w14:textId="77777777" w:rsidR="00C36674" w:rsidRPr="00D64490" w:rsidRDefault="00C36674" w:rsidP="00C36674">
      <w:pPr>
        <w:pStyle w:val="Evidence"/>
      </w:pPr>
      <w:r w:rsidRPr="00D64490">
        <w:rPr>
          <w:u w:val="single"/>
        </w:rPr>
        <w:t>While hydrogen sulfide occurs naturally in crude, producers often take pains to remove it because it can put workers at risk and corrode pipelines and refineries.</w:t>
      </w:r>
      <w:r w:rsidRPr="00D64490">
        <w:t xml:space="preserve"> Many pipelines have capped the permitted amount of hydrogen sulfide, or H2S, at 10 parts per million (ppm).</w:t>
      </w:r>
    </w:p>
    <w:p w14:paraId="1C9910B7" w14:textId="77777777" w:rsidR="00B64449" w:rsidRDefault="00B64449" w:rsidP="00B64449">
      <w:pPr>
        <w:pStyle w:val="Contention1"/>
      </w:pPr>
      <w:bookmarkStart w:id="205" w:name="_Toc13054789"/>
      <w:bookmarkStart w:id="206" w:name="_Toc22383953"/>
      <w:r>
        <w:t>DISAD RESPONSES</w:t>
      </w:r>
      <w:bookmarkEnd w:id="205"/>
      <w:bookmarkEnd w:id="206"/>
    </w:p>
    <w:p w14:paraId="0C66768C" w14:textId="5F5CFD3C" w:rsidR="006A399D" w:rsidRDefault="006A399D" w:rsidP="006A399D">
      <w:pPr>
        <w:pStyle w:val="Contention1"/>
      </w:pPr>
      <w:bookmarkStart w:id="207" w:name="_Toc22383954"/>
      <w:r>
        <w:t>A/T “We Need the Reserve to Combat Supply Disruptions”</w:t>
      </w:r>
      <w:bookmarkEnd w:id="207"/>
    </w:p>
    <w:p w14:paraId="37F14410" w14:textId="77777777" w:rsidR="006A399D" w:rsidRDefault="006A399D" w:rsidP="006A399D">
      <w:pPr>
        <w:pStyle w:val="Contention2"/>
      </w:pPr>
      <w:bookmarkStart w:id="208" w:name="_Toc22383955"/>
      <w:r>
        <w:t>We can use private reserves and governmental response doesn’t help</w:t>
      </w:r>
      <w:bookmarkEnd w:id="208"/>
    </w:p>
    <w:p w14:paraId="6A9CA598" w14:textId="36BCB778" w:rsidR="006A399D" w:rsidRDefault="006A399D" w:rsidP="006A399D">
      <w:pPr>
        <w:pStyle w:val="Citation3"/>
      </w:pPr>
      <w:bookmarkStart w:id="209" w:name="_Toc14000079"/>
      <w:bookmarkStart w:id="210" w:name="_Toc14023348"/>
      <w:bookmarkStart w:id="211" w:name="_Toc14092259"/>
      <w:bookmarkStart w:id="212" w:name="_Toc14093387"/>
      <w:bookmarkStart w:id="213" w:name="_Toc14094561"/>
      <w:bookmarkStart w:id="214" w:name="_Toc14095589"/>
      <w:bookmarkStart w:id="215" w:name="_Toc14106056"/>
      <w:bookmarkStart w:id="216" w:name="_Toc14111914"/>
      <w:bookmarkStart w:id="217" w:name="_Toc14179399"/>
      <w:bookmarkStart w:id="218" w:name="_Toc22488191"/>
      <w:r w:rsidRPr="006A399D">
        <w:rPr>
          <w:u w:val="single"/>
        </w:rPr>
        <w:t>Nicolas Loris,</w:t>
      </w:r>
      <w:r>
        <w:rPr>
          <w:u w:val="single"/>
        </w:rPr>
        <w:t xml:space="preserve"> </w:t>
      </w:r>
      <w:r w:rsidRPr="006A399D">
        <w:rPr>
          <w:u w:val="single"/>
        </w:rPr>
        <w:t>2015</w:t>
      </w:r>
      <w: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hyperlink r:id="rId38" w:history="1">
        <w:r w:rsidR="00723C19" w:rsidRPr="001C3AE0">
          <w:rPr>
            <w:rStyle w:val="Hyperlink"/>
          </w:rPr>
          <w:t>https://www.heritage.org/environment/report/why-congress-should-pull-the-plug-the-strategic-petroleum-reserve</w:t>
        </w:r>
        <w:bookmarkEnd w:id="218"/>
      </w:hyperlink>
      <w:bookmarkEnd w:id="209"/>
      <w:bookmarkEnd w:id="210"/>
      <w:bookmarkEnd w:id="211"/>
      <w:bookmarkEnd w:id="212"/>
      <w:bookmarkEnd w:id="213"/>
      <w:bookmarkEnd w:id="214"/>
      <w:bookmarkEnd w:id="215"/>
      <w:bookmarkEnd w:id="216"/>
      <w:bookmarkEnd w:id="217"/>
      <w:r w:rsidR="00723C19">
        <w:t xml:space="preserve"> </w:t>
      </w:r>
    </w:p>
    <w:p w14:paraId="79C9EB8A" w14:textId="6BDA53A6" w:rsidR="006A399D" w:rsidRDefault="006A399D" w:rsidP="006A399D">
      <w:pPr>
        <w:pStyle w:val="Evidence"/>
        <w:rPr>
          <w:u w:val="single"/>
        </w:rPr>
      </w:pPr>
      <w:r w:rsidRPr="008921EE">
        <w:rPr>
          <w:u w:val="single"/>
        </w:rPr>
        <w:t>Supply disruptions are not reason enough for government stockpiling and</w:t>
      </w:r>
      <w:r>
        <w:t xml:space="preserve">, most important, </w:t>
      </w:r>
      <w:r w:rsidRPr="008921EE">
        <w:rPr>
          <w:u w:val="single"/>
        </w:rPr>
        <w:t>can be addressed through market forces with an abundance of private inventory, not government-controlled resources</w:t>
      </w:r>
      <w:r>
        <w:t xml:space="preserve">. Even so, </w:t>
      </w:r>
      <w:r w:rsidRPr="008921EE">
        <w:rPr>
          <w:u w:val="single"/>
        </w:rPr>
        <w:t>the empirical benefits associated with the government’s use of the SPR in alleged emergencies are dubious and difficult to accurately assess because of the difficulty in isolating the release’s effect on the market, given all the other variables that affect the global oil market.</w:t>
      </w:r>
    </w:p>
    <w:p w14:paraId="31C7FC1E" w14:textId="4060642C" w:rsidR="00C36674" w:rsidRDefault="00C36674" w:rsidP="00C36674">
      <w:pPr>
        <w:pStyle w:val="Contention2"/>
      </w:pPr>
      <w:bookmarkStart w:id="219" w:name="_Toc22383956"/>
      <w:r>
        <w:t xml:space="preserve">Lots of world events </w:t>
      </w:r>
      <w:r w:rsidR="00CB458D">
        <w:t>are happening that affect oil, but markets remain stable</w:t>
      </w:r>
      <w:bookmarkEnd w:id="219"/>
    </w:p>
    <w:p w14:paraId="37CFB3E0" w14:textId="77777777" w:rsidR="00C36674" w:rsidRDefault="00C36674" w:rsidP="00C36674">
      <w:pPr>
        <w:pStyle w:val="Citation3"/>
      </w:pPr>
      <w:bookmarkStart w:id="220" w:name="_Toc22488192"/>
      <w:r w:rsidRPr="00317749">
        <w:rPr>
          <w:u w:val="single"/>
        </w:rPr>
        <w:t xml:space="preserve">Lawrence </w:t>
      </w:r>
      <w:proofErr w:type="spellStart"/>
      <w:r w:rsidRPr="00317749">
        <w:rPr>
          <w:u w:val="single"/>
        </w:rPr>
        <w:t>Haar</w:t>
      </w:r>
      <w:proofErr w:type="spellEnd"/>
      <w:r w:rsidRPr="00317749">
        <w:rPr>
          <w:u w:val="single"/>
        </w:rPr>
        <w:t xml:space="preserve"> 2019</w:t>
      </w:r>
      <w:r>
        <w:t xml:space="preserve"> (senior lecturer in banking and finance at Oxford Brookes University, Oxford, England) “Good Money after Bad?” Fall 2019 REGULATION </w:t>
      </w:r>
      <w:hyperlink r:id="rId39" w:history="1">
        <w:r>
          <w:rPr>
            <w:rStyle w:val="Hyperlink"/>
          </w:rPr>
          <w:t>https://www.cato.org/sites/cato.org/files/2019-09/regulation-v42n3-3.pdf</w:t>
        </w:r>
        <w:bookmarkEnd w:id="220"/>
      </w:hyperlink>
    </w:p>
    <w:p w14:paraId="0D9BD8BF" w14:textId="0CDFD89B" w:rsidR="00C36674" w:rsidRPr="00C36674" w:rsidRDefault="00C36674" w:rsidP="00C36674">
      <w:pPr>
        <w:pStyle w:val="Evidence"/>
      </w:pPr>
      <w:r w:rsidRPr="00C36674">
        <w:t xml:space="preserve">The probability of supply disruption is important because </w:t>
      </w:r>
      <w:r w:rsidRPr="00CB458D">
        <w:rPr>
          <w:u w:val="single"/>
        </w:rPr>
        <w:t xml:space="preserve">we repeatedly see major events in oil market that appear capable of interrupting physical supply and affecting prices, but markets absorb the shocks and remain resilient. In 2016 we saw sabotage in Kirkuk, a strike in Kuwait, the Canadian wildfire, Nigeria’s force majeure, export blockage in Libya, Colombian pipeline disruptions, Italy’s Val </w:t>
      </w:r>
      <w:proofErr w:type="spellStart"/>
      <w:r w:rsidRPr="00CB458D">
        <w:rPr>
          <w:u w:val="single"/>
        </w:rPr>
        <w:t>d’Agri</w:t>
      </w:r>
      <w:proofErr w:type="spellEnd"/>
      <w:r w:rsidRPr="00CB458D">
        <w:rPr>
          <w:u w:val="single"/>
        </w:rPr>
        <w:t xml:space="preserve"> shutdown, and fire at Brazil’s Barracuda–</w:t>
      </w:r>
      <w:proofErr w:type="spellStart"/>
      <w:r w:rsidRPr="00CB458D">
        <w:rPr>
          <w:u w:val="single"/>
        </w:rPr>
        <w:t>Caratinga</w:t>
      </w:r>
      <w:proofErr w:type="spellEnd"/>
      <w:r w:rsidRPr="00CB458D">
        <w:rPr>
          <w:u w:val="single"/>
        </w:rPr>
        <w:t xml:space="preserve"> site. These were all serious events; none of them, however, led to disruptions or affected oil prices</w:t>
      </w:r>
      <w:r w:rsidRPr="00C36674">
        <w:t>, which continued to trade in a range of $26 to $54 per barrel. Similar observations may be made for 2017, when—despite OPEC’s production cuts— market liquidity was unaffected</w:t>
      </w:r>
      <w:r w:rsidRPr="00CB458D">
        <w:rPr>
          <w:u w:val="single"/>
        </w:rPr>
        <w:t>. In 2018, the wave of political protests across Iran along with sanctions led to sharp declines in production, but global markets for oil remained stable</w:t>
      </w:r>
      <w:r w:rsidRPr="00C36674">
        <w:t xml:space="preserve">, with Brent trading between $50 to $86 per barrel and historically steady price variability. </w:t>
      </w:r>
      <w:r w:rsidRPr="00CB458D">
        <w:rPr>
          <w:u w:val="single"/>
        </w:rPr>
        <w:t>Today, Venezuela produces about one-third of what it pumped in the 1970s for reasons that are well-known, but markets remain stable</w:t>
      </w:r>
      <w:r w:rsidRPr="00C36674">
        <w:t>.</w:t>
      </w:r>
    </w:p>
    <w:p w14:paraId="30E09070" w14:textId="3602BB74" w:rsidR="00B46213" w:rsidRDefault="00B46213" w:rsidP="00B46213">
      <w:pPr>
        <w:pStyle w:val="Contention2"/>
      </w:pPr>
      <w:bookmarkStart w:id="221" w:name="_Toc22383957"/>
      <w:r>
        <w:lastRenderedPageBreak/>
        <w:t>Supply disruptions are now rare</w:t>
      </w:r>
      <w:bookmarkEnd w:id="221"/>
    </w:p>
    <w:p w14:paraId="0C06AD8B" w14:textId="7D315CC4" w:rsidR="00B46213" w:rsidRPr="00B46213" w:rsidRDefault="00B46213" w:rsidP="00B46213">
      <w:pPr>
        <w:pStyle w:val="Citation3"/>
      </w:pPr>
      <w:bookmarkStart w:id="222" w:name="_Toc14023349"/>
      <w:bookmarkStart w:id="223" w:name="_Toc14092260"/>
      <w:bookmarkStart w:id="224" w:name="_Toc14093388"/>
      <w:bookmarkStart w:id="225" w:name="_Toc14094562"/>
      <w:bookmarkStart w:id="226" w:name="_Toc14095590"/>
      <w:bookmarkStart w:id="227" w:name="_Toc14106057"/>
      <w:bookmarkStart w:id="228" w:name="_Toc14111915"/>
      <w:bookmarkStart w:id="229" w:name="_Toc14179400"/>
      <w:bookmarkStart w:id="230" w:name="_Toc22488193"/>
      <w:r>
        <w:rPr>
          <w:u w:val="single"/>
        </w:rPr>
        <w:t xml:space="preserve">Loren Steff, 2015 </w:t>
      </w:r>
      <w:r>
        <w:t>(</w:t>
      </w:r>
      <w:r w:rsidRPr="00B46213">
        <w:t>senior writer for 30 Point Strategies</w:t>
      </w:r>
      <w:r>
        <w:t>, author of two books on oil markets) 18 March 2015 “</w:t>
      </w:r>
      <w:r w:rsidRPr="00B46213">
        <w:t>Why the Strategic Petroleum Reserve Has Outlived Its Usefulness</w:t>
      </w:r>
      <w:r>
        <w:t xml:space="preserve">” </w:t>
      </w:r>
      <w:hyperlink r:id="rId40" w:anchor="273c9a513469" w:history="1">
        <w:r w:rsidRPr="00B46213">
          <w:rPr>
            <w:rStyle w:val="Hyperlink"/>
          </w:rPr>
          <w:t>https://www.forbes.com/sites/lorensteffy/2015/03/18/why-the-strategic-petroleum-reserve-has-outlived-its-usefulness/#273c9a513469</w:t>
        </w:r>
        <w:bookmarkEnd w:id="222"/>
        <w:bookmarkEnd w:id="223"/>
        <w:bookmarkEnd w:id="224"/>
        <w:bookmarkEnd w:id="225"/>
        <w:bookmarkEnd w:id="226"/>
        <w:bookmarkEnd w:id="227"/>
        <w:bookmarkEnd w:id="228"/>
        <w:bookmarkEnd w:id="229"/>
        <w:bookmarkEnd w:id="230"/>
      </w:hyperlink>
    </w:p>
    <w:p w14:paraId="1182AA08" w14:textId="77777777" w:rsidR="00B46213" w:rsidRDefault="00B46213" w:rsidP="00B46213">
      <w:pPr>
        <w:pStyle w:val="Evidence"/>
        <w:rPr>
          <w:u w:val="single"/>
        </w:rPr>
      </w:pPr>
      <w:r w:rsidRPr="00B46213">
        <w:t xml:space="preserve">The reserve was created in a different era. In the ensuing decades, </w:t>
      </w:r>
      <w:r w:rsidRPr="00B46213">
        <w:rPr>
          <w:u w:val="single"/>
        </w:rPr>
        <w:t>more countries now produce oil — many of them outside of OPEC’s control. The market is more mature and better able to respond to supply disruptions</w:t>
      </w:r>
      <w:r w:rsidRPr="00B46213">
        <w:t xml:space="preserve">. More important, though, </w:t>
      </w:r>
      <w:r w:rsidRPr="00B46213">
        <w:rPr>
          <w:u w:val="single"/>
        </w:rPr>
        <w:t>in today’s oil economy, true supply shortages are rare</w:t>
      </w:r>
      <w:r w:rsidRPr="00B46213">
        <w:t xml:space="preserve">. More often, we face price increases that we may not like, </w:t>
      </w:r>
      <w:r w:rsidRPr="00B46213">
        <w:rPr>
          <w:u w:val="single"/>
        </w:rPr>
        <w:t>and the SPR has long been a temptation for presidents who prefer to see gasoline prices stay low, especially heading into an election.</w:t>
      </w:r>
    </w:p>
    <w:p w14:paraId="3380B64F" w14:textId="14A9F739" w:rsidR="007C02B3" w:rsidRPr="007C02B3" w:rsidRDefault="007C02B3" w:rsidP="007C02B3">
      <w:pPr>
        <w:pStyle w:val="Contention2"/>
      </w:pPr>
      <w:bookmarkStart w:id="231" w:name="_Toc22383958"/>
      <w:r w:rsidRPr="007C02B3">
        <w:t>It takes weeks for oil released from the reserve to hit the market</w:t>
      </w:r>
      <w:r>
        <w:t>, so it has limited ability to combat supply disruptions</w:t>
      </w:r>
      <w:bookmarkEnd w:id="231"/>
    </w:p>
    <w:p w14:paraId="5C13E7E9" w14:textId="18B991AA" w:rsidR="007C02B3" w:rsidRPr="007C02B3" w:rsidRDefault="007C02B3" w:rsidP="007C02B3">
      <w:pPr>
        <w:pStyle w:val="Citation3"/>
      </w:pPr>
      <w:bookmarkStart w:id="232" w:name="_Toc14023350"/>
      <w:bookmarkStart w:id="233" w:name="_Toc14092261"/>
      <w:bookmarkStart w:id="234" w:name="_Toc14093389"/>
      <w:bookmarkStart w:id="235" w:name="_Toc14094563"/>
      <w:bookmarkStart w:id="236" w:name="_Toc14095591"/>
      <w:bookmarkStart w:id="237" w:name="_Toc14106058"/>
      <w:bookmarkStart w:id="238" w:name="_Toc14111916"/>
      <w:bookmarkStart w:id="239" w:name="_Toc14179401"/>
      <w:bookmarkStart w:id="240" w:name="_Toc22488194"/>
      <w:r w:rsidRPr="007C02B3">
        <w:rPr>
          <w:u w:val="single"/>
        </w:rPr>
        <w:t>Amy Jaffe 2012 </w:t>
      </w:r>
      <w:r w:rsidRPr="007C02B3">
        <w:t>(Director of the program on Energy Security and Climate Change and David M. Rubenstein senior fellow for energy at the Council on Foreign Relations) 24 August 2012 "America’s Real Strategic Petroleum Reserve"</w:t>
      </w:r>
      <w:r>
        <w:t xml:space="preserve"> </w:t>
      </w:r>
      <w:hyperlink r:id="rId41" w:history="1">
        <w:r w:rsidR="00723C19" w:rsidRPr="001C3AE0">
          <w:rPr>
            <w:rStyle w:val="Hyperlink"/>
          </w:rPr>
          <w:t>https://foreignpolicy.com/2012/08/24/americas-real-strategic-petroleum-reserve/</w:t>
        </w:r>
        <w:bookmarkEnd w:id="240"/>
      </w:hyperlink>
      <w:bookmarkEnd w:id="232"/>
      <w:bookmarkEnd w:id="233"/>
      <w:bookmarkEnd w:id="234"/>
      <w:bookmarkEnd w:id="235"/>
      <w:bookmarkEnd w:id="236"/>
      <w:bookmarkEnd w:id="237"/>
      <w:bookmarkEnd w:id="238"/>
      <w:bookmarkEnd w:id="239"/>
      <w:r w:rsidR="00723C19">
        <w:t xml:space="preserve"> </w:t>
      </w:r>
    </w:p>
    <w:p w14:paraId="02B4B089" w14:textId="77777777" w:rsidR="007C02B3" w:rsidRDefault="007C02B3" w:rsidP="007C02B3">
      <w:pPr>
        <w:pStyle w:val="Evidence"/>
        <w:rPr>
          <w:u w:val="single"/>
        </w:rPr>
      </w:pPr>
      <w:r w:rsidRPr="007C02B3">
        <w:t>" But if Obama’s trial balloon reveals the dangers of treating Saudi Arabia as a de facto emergency stockpile, the absence of concrete standards for releasing the real SPR will also make the president’s job harder. There exists no defined mechanism to trigger a release, and </w:t>
      </w:r>
      <w:r w:rsidRPr="007C02B3">
        <w:rPr>
          <w:u w:val="single"/>
        </w:rPr>
        <w:t>each time it seems to make sense, the United States winds up initiating a cumbersome, time-consuming diplomatic process of negotiations with foreign allies and the International Energy Agency </w:t>
      </w:r>
      <w:r w:rsidRPr="007C02B3">
        <w:t>(IEA) </w:t>
      </w:r>
      <w:r w:rsidRPr="007C02B3">
        <w:rPr>
          <w:u w:val="single"/>
        </w:rPr>
        <w:t>that often over-politicizes the result. Moreover, the actual process of getting the oil from the reserves to the pump isn’t instantaneous. It takes weeks after the announcement of an SPR sale for the U.S. Department of Energy to collect bids and award sales volumes. Then, the buyers have to schedule oil with nearby pipeline companies, so by the time the oil actually reaches the refineries and is processed into gasoline another several weeks will have passed. Thus, releasing stocks after a major crisis is a losing strategy — better to plan ahead to shape the marketplace."</w:t>
      </w:r>
    </w:p>
    <w:p w14:paraId="35ED1F93" w14:textId="7B0FF49E" w:rsidR="0034603A" w:rsidRDefault="00436AAC" w:rsidP="0034603A">
      <w:pPr>
        <w:pStyle w:val="Contention2"/>
      </w:pPr>
      <w:bookmarkStart w:id="241" w:name="_Toc22383959"/>
      <w:r>
        <w:t>Technological advances have eliminated the possibility of a shortage</w:t>
      </w:r>
      <w:bookmarkEnd w:id="241"/>
    </w:p>
    <w:p w14:paraId="5170582F" w14:textId="57BAC1A6" w:rsidR="00436AAC" w:rsidRPr="00436AAC" w:rsidRDefault="00436AAC" w:rsidP="00436AAC">
      <w:pPr>
        <w:pStyle w:val="Citation3"/>
      </w:pPr>
      <w:bookmarkStart w:id="242" w:name="_Toc14023351"/>
      <w:bookmarkStart w:id="243" w:name="_Toc14092262"/>
      <w:bookmarkStart w:id="244" w:name="_Toc14093390"/>
      <w:bookmarkStart w:id="245" w:name="_Toc14094564"/>
      <w:bookmarkStart w:id="246" w:name="_Toc14095592"/>
      <w:bookmarkStart w:id="247" w:name="_Toc14106059"/>
      <w:bookmarkStart w:id="248" w:name="_Toc14111917"/>
      <w:bookmarkStart w:id="249" w:name="_Toc14179402"/>
      <w:bookmarkStart w:id="250" w:name="_Toc22488195"/>
      <w:r w:rsidRPr="00436AAC">
        <w:rPr>
          <w:u w:val="single"/>
        </w:rPr>
        <w:t>Jeffrey A. Tucker</w:t>
      </w:r>
      <w:r>
        <w:rPr>
          <w:u w:val="single"/>
        </w:rPr>
        <w:t xml:space="preserve"> 2015 </w:t>
      </w:r>
      <w:r>
        <w:t>(</w:t>
      </w:r>
      <w:r w:rsidRPr="00436AAC">
        <w:t xml:space="preserve">former Director of Content for the Foundation for Economic Education. He is the Editorial Director at the American Institute for Economic Research, the founder of Liberty.me, Distinguished Honorary Member of Mises Brazil, research fellow at the Acton Institute, policy adviser of the Heartland Institute, founder of the </w:t>
      </w:r>
      <w:proofErr w:type="spellStart"/>
      <w:r w:rsidRPr="00436AAC">
        <w:t>CryptoCurrency</w:t>
      </w:r>
      <w:proofErr w:type="spellEnd"/>
      <w:r w:rsidRPr="00436AAC">
        <w:t xml:space="preserve"> Conference, and author of five books</w:t>
      </w:r>
      <w:r>
        <w:t>) 19 March 2015 “</w:t>
      </w:r>
      <w:r w:rsidRPr="00436AAC">
        <w:t>Oil Boom and Government Glut</w:t>
      </w:r>
      <w:r>
        <w:t>”</w:t>
      </w:r>
      <w:r w:rsidRPr="00436AAC">
        <w:rPr>
          <w:i w:val="0"/>
          <w:sz w:val="22"/>
        </w:rPr>
        <w:t xml:space="preserve"> </w:t>
      </w:r>
      <w:hyperlink r:id="rId42" w:history="1">
        <w:r w:rsidRPr="00436AAC">
          <w:rPr>
            <w:rStyle w:val="Hyperlink"/>
          </w:rPr>
          <w:t>https://fee.org/articles/oil-boom-and-government-glut/</w:t>
        </w:r>
        <w:bookmarkEnd w:id="242"/>
        <w:bookmarkEnd w:id="243"/>
        <w:bookmarkEnd w:id="244"/>
        <w:bookmarkEnd w:id="245"/>
        <w:bookmarkEnd w:id="246"/>
        <w:bookmarkEnd w:id="247"/>
        <w:bookmarkEnd w:id="248"/>
        <w:bookmarkEnd w:id="249"/>
        <w:bookmarkEnd w:id="250"/>
      </w:hyperlink>
    </w:p>
    <w:p w14:paraId="3DA9D41C" w14:textId="04732C1F" w:rsidR="00436AAC" w:rsidRDefault="00436AAC" w:rsidP="00436AAC">
      <w:pPr>
        <w:pStyle w:val="Evidence"/>
      </w:pPr>
      <w:r w:rsidRPr="00436AAC">
        <w:rPr>
          <w:u w:val="single"/>
        </w:rPr>
        <w:t>Technology has blasted away the last decade’s wild and misguided fears of a shortage. Production is at an all-time high</w:t>
      </w:r>
      <w:r w:rsidRPr="00436AAC">
        <w:t xml:space="preserve"> in response to unprecedented demand. The stunning events have been a boon to consumers, as downward pressure keeps pushing on prices at the pump.</w:t>
      </w:r>
    </w:p>
    <w:p w14:paraId="1342B3E0" w14:textId="2930D80F" w:rsidR="005964AD" w:rsidRDefault="005964AD" w:rsidP="00B02C10">
      <w:pPr>
        <w:pStyle w:val="Contention2"/>
      </w:pPr>
      <w:bookmarkStart w:id="251" w:name="_Toc22383960"/>
      <w:r>
        <w:t>There aren’t shortages in the free market</w:t>
      </w:r>
      <w:bookmarkEnd w:id="251"/>
    </w:p>
    <w:p w14:paraId="00BD4E0C" w14:textId="20AD477F" w:rsidR="005964AD" w:rsidRPr="005964AD" w:rsidRDefault="005964AD" w:rsidP="005964AD">
      <w:pPr>
        <w:pStyle w:val="Citation3"/>
      </w:pPr>
      <w:bookmarkStart w:id="252" w:name="_Toc14106060"/>
      <w:bookmarkStart w:id="253" w:name="_Toc14111918"/>
      <w:bookmarkStart w:id="254" w:name="_Toc14179403"/>
      <w:bookmarkStart w:id="255" w:name="_Toc22488196"/>
      <w:r w:rsidRPr="005964AD">
        <w:rPr>
          <w:u w:val="single"/>
        </w:rPr>
        <w:t>Steve Chapman</w:t>
      </w:r>
      <w:r>
        <w:rPr>
          <w:u w:val="single"/>
        </w:rPr>
        <w:t xml:space="preserve"> 2017 </w:t>
      </w:r>
      <w:r>
        <w:t>(</w:t>
      </w:r>
      <w:r w:rsidRPr="005964AD">
        <w:t>columnist and editorial writer for the Chicago Tribune</w:t>
      </w:r>
      <w:r>
        <w:t>) 26 May 2017 “</w:t>
      </w:r>
      <w:r w:rsidRPr="005964AD">
        <w:t>Why selling off the oil reserve is a good idea</w:t>
      </w:r>
      <w:r>
        <w:t xml:space="preserve">” </w:t>
      </w:r>
      <w:hyperlink r:id="rId43" w:history="1">
        <w:r w:rsidRPr="005964AD">
          <w:rPr>
            <w:rStyle w:val="Hyperlink"/>
          </w:rPr>
          <w:t>https://www.chicagotribune.com/columns/steve-chapman/ct-strategic-petroleum-reserve-oil-chapman-perspec-0528-md-20170526-column.html</w:t>
        </w:r>
        <w:bookmarkEnd w:id="252"/>
        <w:bookmarkEnd w:id="253"/>
        <w:bookmarkEnd w:id="254"/>
        <w:bookmarkEnd w:id="255"/>
      </w:hyperlink>
    </w:p>
    <w:p w14:paraId="39FEE58B" w14:textId="02B8E02A" w:rsidR="005964AD" w:rsidRDefault="005964AD" w:rsidP="005964AD">
      <w:pPr>
        <w:pStyle w:val="Evidence"/>
      </w:pPr>
      <w:r w:rsidRPr="005964AD">
        <w:t>When prices are allowed to rise and fall in response to changes in supply and demand, as they are today, there is no such thing as a shortage. If Saudi Arabia or Venezuela reduces its output, prices will increase and consumption will decline, a process that quickly equalizes supply and demand.</w:t>
      </w:r>
    </w:p>
    <w:p w14:paraId="2CB22EC4" w14:textId="25D118D0" w:rsidR="00436AAC" w:rsidRDefault="00436AAC" w:rsidP="00436AAC">
      <w:pPr>
        <w:pStyle w:val="Contention3"/>
      </w:pPr>
      <w:r>
        <w:lastRenderedPageBreak/>
        <w:t>We don’t need a reserve for other products, why do we need one for oil?</w:t>
      </w:r>
    </w:p>
    <w:p w14:paraId="466ACC91" w14:textId="77777777" w:rsidR="00436AAC" w:rsidRPr="00436AAC" w:rsidRDefault="00436AAC" w:rsidP="00436AAC">
      <w:pPr>
        <w:pStyle w:val="Citation3"/>
      </w:pPr>
      <w:bookmarkStart w:id="256" w:name="_Toc14023352"/>
      <w:bookmarkStart w:id="257" w:name="_Toc14092263"/>
      <w:bookmarkStart w:id="258" w:name="_Toc14093391"/>
      <w:bookmarkStart w:id="259" w:name="_Toc14094565"/>
      <w:bookmarkStart w:id="260" w:name="_Toc14095593"/>
      <w:bookmarkStart w:id="261" w:name="_Toc14106061"/>
      <w:bookmarkStart w:id="262" w:name="_Toc14111919"/>
      <w:bookmarkStart w:id="263" w:name="_Toc14179404"/>
      <w:bookmarkStart w:id="264" w:name="_Toc22488197"/>
      <w:r w:rsidRPr="00436AAC">
        <w:rPr>
          <w:u w:val="single"/>
        </w:rPr>
        <w:t>Jeffrey A. Tucker</w:t>
      </w:r>
      <w:r>
        <w:rPr>
          <w:u w:val="single"/>
        </w:rPr>
        <w:t xml:space="preserve"> 2015 </w:t>
      </w:r>
      <w:r>
        <w:t>(</w:t>
      </w:r>
      <w:r w:rsidRPr="00436AAC">
        <w:t xml:space="preserve">former Director of Content for the Foundation for Economic Education. He is the Editorial Director at the American Institute for Economic Research, the founder of Liberty.me, Distinguished Honorary Member of Mises Brazil, research fellow at the Acton Institute, policy adviser of the Heartland Institute, founder of the </w:t>
      </w:r>
      <w:proofErr w:type="spellStart"/>
      <w:r w:rsidRPr="00436AAC">
        <w:t>CryptoCurrency</w:t>
      </w:r>
      <w:proofErr w:type="spellEnd"/>
      <w:r w:rsidRPr="00436AAC">
        <w:t xml:space="preserve"> Conference, and author of five books</w:t>
      </w:r>
      <w:r>
        <w:t>) 19 March 2015 “</w:t>
      </w:r>
      <w:r w:rsidRPr="00436AAC">
        <w:t>Oil Boom and Government Glut</w:t>
      </w:r>
      <w:r>
        <w:t>”</w:t>
      </w:r>
      <w:r w:rsidRPr="00436AAC">
        <w:rPr>
          <w:i w:val="0"/>
          <w:sz w:val="22"/>
        </w:rPr>
        <w:t xml:space="preserve"> </w:t>
      </w:r>
      <w:hyperlink r:id="rId44" w:history="1">
        <w:r w:rsidRPr="00436AAC">
          <w:rPr>
            <w:rStyle w:val="Hyperlink"/>
          </w:rPr>
          <w:t>https://fee.org/articles/oil-boom-and-government-glut/</w:t>
        </w:r>
        <w:bookmarkEnd w:id="256"/>
        <w:bookmarkEnd w:id="257"/>
        <w:bookmarkEnd w:id="258"/>
        <w:bookmarkEnd w:id="259"/>
        <w:bookmarkEnd w:id="260"/>
        <w:bookmarkEnd w:id="261"/>
        <w:bookmarkEnd w:id="262"/>
        <w:bookmarkEnd w:id="263"/>
        <w:bookmarkEnd w:id="264"/>
      </w:hyperlink>
    </w:p>
    <w:p w14:paraId="4B873149" w14:textId="0E262825" w:rsidR="00436AAC" w:rsidRPr="00436AAC" w:rsidRDefault="00436AAC" w:rsidP="00436AAC">
      <w:pPr>
        <w:pStyle w:val="Evidence"/>
      </w:pPr>
      <w:r w:rsidRPr="00436AAC">
        <w:rPr>
          <w:u w:val="single"/>
        </w:rPr>
        <w:t>If it is really necessary to have a “strategic reserve” for oil, wouldn’t we also have to have the same for carrots, beef, iPads, tennis shoes, wine, or raisins?</w:t>
      </w:r>
      <w:r w:rsidRPr="00436AAC">
        <w:t xml:space="preserve"> Actually, we have one of those too: </w:t>
      </w:r>
      <w:proofErr w:type="gramStart"/>
      <w:r w:rsidRPr="00436AAC">
        <w:t>a</w:t>
      </w:r>
      <w:proofErr w:type="gramEnd"/>
      <w:r w:rsidRPr="00436AAC">
        <w:t xml:space="preserve"> National Raisin Reserve, an equally bizarre anachronism from the Great Depression that requires raisin farmers to give as much as half their crop to the government in order to keep </w:t>
      </w:r>
      <w:proofErr w:type="spellStart"/>
      <w:r w:rsidRPr="00436AAC">
        <w:t>raisin</w:t>
      </w:r>
      <w:proofErr w:type="spellEnd"/>
      <w:r w:rsidRPr="00436AAC">
        <w:t xml:space="preserve"> prices high.</w:t>
      </w:r>
    </w:p>
    <w:p w14:paraId="518A3B48" w14:textId="3D7DDA15" w:rsidR="0034420A" w:rsidRDefault="0034420A" w:rsidP="0034420A">
      <w:pPr>
        <w:pStyle w:val="Contention2"/>
      </w:pPr>
      <w:bookmarkStart w:id="265" w:name="_Toc22383961"/>
      <w:r>
        <w:t>If there was a supply disruption, the market would balance out without the SPR</w:t>
      </w:r>
      <w:bookmarkEnd w:id="265"/>
    </w:p>
    <w:p w14:paraId="2462DE9C" w14:textId="094B3EE8" w:rsidR="0034420A" w:rsidRPr="00436AAC" w:rsidRDefault="0034420A" w:rsidP="0034420A">
      <w:pPr>
        <w:pStyle w:val="Citation3"/>
      </w:pPr>
      <w:bookmarkStart w:id="266" w:name="_Toc14092264"/>
      <w:bookmarkStart w:id="267" w:name="_Toc14093392"/>
      <w:bookmarkStart w:id="268" w:name="_Toc14094566"/>
      <w:bookmarkStart w:id="269" w:name="_Toc14095594"/>
      <w:bookmarkStart w:id="270" w:name="_Toc14106062"/>
      <w:bookmarkStart w:id="271" w:name="_Toc14111920"/>
      <w:bookmarkStart w:id="272" w:name="_Toc14179405"/>
      <w:bookmarkStart w:id="273" w:name="_Toc22488198"/>
      <w:r w:rsidRPr="00436AAC">
        <w:rPr>
          <w:u w:val="single"/>
        </w:rPr>
        <w:t>Jeffrey A. Tucker</w:t>
      </w:r>
      <w:r>
        <w:rPr>
          <w:u w:val="single"/>
        </w:rPr>
        <w:t xml:space="preserve"> 2015 </w:t>
      </w:r>
      <w:r>
        <w:t>(</w:t>
      </w:r>
      <w:r w:rsidRPr="00436AAC">
        <w:t xml:space="preserve">former Director of Content for the Foundation for Economic Education. He is the Editorial Director at the American </w:t>
      </w:r>
      <w:r w:rsidR="00CB458D">
        <w:t>Institute for Economic Research</w:t>
      </w:r>
      <w:r>
        <w:t>) 19 March 2015 “</w:t>
      </w:r>
      <w:r w:rsidRPr="00436AAC">
        <w:t>Oil Boom and Government Glut</w:t>
      </w:r>
      <w:r>
        <w:t>”</w:t>
      </w:r>
      <w:r w:rsidRPr="00436AAC">
        <w:rPr>
          <w:i w:val="0"/>
          <w:sz w:val="22"/>
        </w:rPr>
        <w:t xml:space="preserve"> </w:t>
      </w:r>
      <w:hyperlink r:id="rId45" w:history="1">
        <w:r w:rsidRPr="00436AAC">
          <w:rPr>
            <w:rStyle w:val="Hyperlink"/>
          </w:rPr>
          <w:t>https://fee.org/articles/oil-boom-and-government-glut/</w:t>
        </w:r>
        <w:bookmarkEnd w:id="266"/>
        <w:bookmarkEnd w:id="267"/>
        <w:bookmarkEnd w:id="268"/>
        <w:bookmarkEnd w:id="269"/>
        <w:bookmarkEnd w:id="270"/>
        <w:bookmarkEnd w:id="271"/>
        <w:bookmarkEnd w:id="272"/>
        <w:bookmarkEnd w:id="273"/>
      </w:hyperlink>
    </w:p>
    <w:p w14:paraId="50B60D86" w14:textId="77777777" w:rsidR="0034420A" w:rsidRPr="00B02C10" w:rsidRDefault="0034420A" w:rsidP="0034420A">
      <w:pPr>
        <w:pStyle w:val="Evidence"/>
      </w:pPr>
      <w:r w:rsidRPr="00B02C10">
        <w:t>Let’s imagine there really were some weird catastrophe that caused all distribution to stop. Prices would surge through the roof and inspire a gigantic increase in oil production from all over the world.</w:t>
      </w:r>
    </w:p>
    <w:p w14:paraId="72B47B93" w14:textId="1E4738DB" w:rsidR="00AC443A" w:rsidRDefault="00AC443A" w:rsidP="00AC443A">
      <w:pPr>
        <w:pStyle w:val="Contention2"/>
      </w:pPr>
      <w:bookmarkStart w:id="274" w:name="_Toc22383962"/>
      <w:r>
        <w:t>A/T “1970s oil embargo show</w:t>
      </w:r>
      <w:r w:rsidR="00CB458D">
        <w:t>s</w:t>
      </w:r>
      <w:r>
        <w:t xml:space="preserve"> vulnerability to shortages” –</w:t>
      </w:r>
      <w:r w:rsidR="00CB458D">
        <w:t xml:space="preserve"> S</w:t>
      </w:r>
      <w:r>
        <w:t>hortages were result of poor U.S. policy, not the embargo/ the lack of a reserve</w:t>
      </w:r>
      <w:bookmarkEnd w:id="274"/>
    </w:p>
    <w:p w14:paraId="79A3378F" w14:textId="5D75C145" w:rsidR="00AC443A" w:rsidRPr="00AC443A" w:rsidRDefault="00AC443A" w:rsidP="00AC443A">
      <w:pPr>
        <w:pStyle w:val="Citation3"/>
      </w:pPr>
      <w:bookmarkStart w:id="275" w:name="_Toc14095595"/>
      <w:bookmarkStart w:id="276" w:name="_Toc14106063"/>
      <w:bookmarkStart w:id="277" w:name="_Toc14111921"/>
      <w:bookmarkStart w:id="278" w:name="_Toc14179406"/>
      <w:bookmarkStart w:id="279" w:name="_Toc22488199"/>
      <w:r w:rsidRPr="00AC443A">
        <w:rPr>
          <w:u w:val="single"/>
        </w:rPr>
        <w:t>Jeff Colgan</w:t>
      </w:r>
      <w:r>
        <w:rPr>
          <w:u w:val="single"/>
        </w:rPr>
        <w:t xml:space="preserve"> 2013 </w:t>
      </w:r>
      <w:r>
        <w:t>(PhD.</w:t>
      </w:r>
      <w:r w:rsidRPr="00AC443A">
        <w:t xml:space="preserve"> Professor of Political Science</w:t>
      </w:r>
      <w:r w:rsidR="004A5639">
        <w:t>,</w:t>
      </w:r>
      <w:r w:rsidRPr="00AC443A">
        <w:t xml:space="preserve"> Watson Institute for Public and International Affairs at Brown Univ</w:t>
      </w:r>
      <w:r>
        <w:t>)March 2013 “</w:t>
      </w:r>
      <w:r w:rsidRPr="00AC443A">
        <w:t>The Emperor Has No Clothes: The Limits of OPEC in the Global Oil Market</w:t>
      </w:r>
      <w:r>
        <w:t xml:space="preserve">” </w:t>
      </w:r>
      <w:hyperlink r:id="rId46" w:history="1">
        <w:r w:rsidRPr="00AC443A">
          <w:rPr>
            <w:rStyle w:val="Hyperlink"/>
          </w:rPr>
          <w:t>https://www.ourenergypolicy.org/wp-content/uploads/2013/08/OPEC-Colgan.2013Mar.Copyedit-IO.pdf</w:t>
        </w:r>
        <w:bookmarkEnd w:id="275"/>
        <w:bookmarkEnd w:id="276"/>
        <w:bookmarkEnd w:id="277"/>
        <w:bookmarkEnd w:id="278"/>
        <w:bookmarkEnd w:id="279"/>
      </w:hyperlink>
    </w:p>
    <w:p w14:paraId="2CE786C2" w14:textId="77777777" w:rsidR="00AC443A" w:rsidRDefault="00AC443A" w:rsidP="00AC443A">
      <w:pPr>
        <w:pStyle w:val="Evidence"/>
        <w:rPr>
          <w:b/>
        </w:rPr>
      </w:pPr>
      <w:r w:rsidRPr="00AC443A">
        <w:t>Perhaps the biggest impact of the embargo was psychological. The embargo solidified OPEC’s image as a cartel and exacerbated fears that the world was running out of oil. The US government compounded this effect by imposing domestic price controls on gasoline, leading to shortages and long lines at gasoline stations. These shortages were a consequence of US domestic policy, not the embargo: if prices had been allowed to rise, the market would have cleared on its own.</w:t>
      </w:r>
    </w:p>
    <w:p w14:paraId="7747A891" w14:textId="49298496" w:rsidR="008921EE" w:rsidRPr="008921EE" w:rsidRDefault="008921EE" w:rsidP="008921EE">
      <w:pPr>
        <w:pStyle w:val="Contention1"/>
      </w:pPr>
      <w:bookmarkStart w:id="280" w:name="_Toc22383963"/>
      <w:r>
        <w:t xml:space="preserve">A/T </w:t>
      </w:r>
      <w:r w:rsidRPr="008921EE">
        <w:t>“The SPR can significantly cut oil prices”</w:t>
      </w:r>
      <w:bookmarkEnd w:id="280"/>
    </w:p>
    <w:p w14:paraId="131ACD72" w14:textId="77777777" w:rsidR="008921EE" w:rsidRPr="008921EE" w:rsidRDefault="008921EE" w:rsidP="008921EE">
      <w:pPr>
        <w:pStyle w:val="Contention2"/>
      </w:pPr>
      <w:bookmarkStart w:id="281" w:name="_Toc22383964"/>
      <w:r w:rsidRPr="008921EE">
        <w:t>That assumes perfect management</w:t>
      </w:r>
      <w:bookmarkEnd w:id="281"/>
      <w:r w:rsidRPr="008921EE">
        <w:t xml:space="preserve"> </w:t>
      </w:r>
    </w:p>
    <w:p w14:paraId="475FB392" w14:textId="1A48B44E" w:rsidR="008921EE" w:rsidRDefault="008921EE" w:rsidP="008921EE">
      <w:pPr>
        <w:pStyle w:val="Citation3"/>
      </w:pPr>
      <w:bookmarkStart w:id="282" w:name="_Toc14000080"/>
      <w:bookmarkStart w:id="283" w:name="_Toc14023353"/>
      <w:bookmarkStart w:id="284" w:name="_Toc14092266"/>
      <w:bookmarkStart w:id="285" w:name="_Toc14093393"/>
      <w:bookmarkStart w:id="286" w:name="_Toc14094567"/>
      <w:bookmarkStart w:id="287" w:name="_Toc14095596"/>
      <w:bookmarkStart w:id="288" w:name="_Toc14106064"/>
      <w:bookmarkStart w:id="289" w:name="_Toc14111922"/>
      <w:bookmarkStart w:id="290" w:name="_Toc14179407"/>
      <w:bookmarkStart w:id="291" w:name="_Toc22488200"/>
      <w:r w:rsidRPr="006A399D">
        <w:rPr>
          <w:u w:val="single"/>
        </w:rPr>
        <w:t>Nicolas Loris,</w:t>
      </w:r>
      <w:r>
        <w:rPr>
          <w:u w:val="single"/>
        </w:rPr>
        <w:t xml:space="preserve"> </w:t>
      </w:r>
      <w:r w:rsidRPr="006A399D">
        <w:rPr>
          <w:u w:val="single"/>
        </w:rPr>
        <w:t>2015</w:t>
      </w:r>
      <w: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hyperlink r:id="rId47" w:history="1">
        <w:r w:rsidR="00723C19" w:rsidRPr="001C3AE0">
          <w:rPr>
            <w:rStyle w:val="Hyperlink"/>
          </w:rPr>
          <w:t>https://www.heritage.org/environment/report/why-congress-should-pull-the-plug-the-strategic-petroleum-reserve</w:t>
        </w:r>
        <w:bookmarkEnd w:id="291"/>
      </w:hyperlink>
      <w:bookmarkEnd w:id="282"/>
      <w:bookmarkEnd w:id="283"/>
      <w:bookmarkEnd w:id="284"/>
      <w:bookmarkEnd w:id="285"/>
      <w:bookmarkEnd w:id="286"/>
      <w:bookmarkEnd w:id="287"/>
      <w:bookmarkEnd w:id="288"/>
      <w:bookmarkEnd w:id="289"/>
      <w:bookmarkEnd w:id="290"/>
      <w:r w:rsidR="00723C19">
        <w:t xml:space="preserve"> </w:t>
      </w:r>
    </w:p>
    <w:p w14:paraId="6627DE3F" w14:textId="2E00C2CE" w:rsidR="008921EE" w:rsidRDefault="008921EE" w:rsidP="008921EE">
      <w:pPr>
        <w:pStyle w:val="Evidence"/>
      </w:pPr>
      <w:r w:rsidRPr="008921EE">
        <w:t>Some studies have found that SPR releases could lower oil prices by as much as 32 percent; however, these studies estimate price impacts from optimal SPR management, not actual effects of SPR releases on global oil prices or SPR releases in practice. Obtaining the optimal price effect would be difficult, argues University of Wyoming economist Timothy Considine, because “a more fundamental problem arises from vesting a political entity with the inherently complex task of allocating oil across time and space—a task that is probably best left to market forces.”</w:t>
      </w:r>
    </w:p>
    <w:p w14:paraId="244B0653" w14:textId="1B4E8F73" w:rsidR="00B46213" w:rsidRDefault="00B46213" w:rsidP="00B46213">
      <w:pPr>
        <w:pStyle w:val="Contention2"/>
      </w:pPr>
      <w:bookmarkStart w:id="292" w:name="_Toc22383965"/>
      <w:r>
        <w:lastRenderedPageBreak/>
        <w:t>The SPR was never intended to lower prices</w:t>
      </w:r>
      <w:bookmarkEnd w:id="292"/>
    </w:p>
    <w:p w14:paraId="622EE235" w14:textId="193A3930" w:rsidR="00EE37F5" w:rsidRPr="00EE37F5" w:rsidRDefault="00EE37F5" w:rsidP="00EE37F5">
      <w:pPr>
        <w:pStyle w:val="Citation3"/>
      </w:pPr>
      <w:bookmarkStart w:id="293" w:name="_Toc14023354"/>
      <w:bookmarkStart w:id="294" w:name="_Toc14092267"/>
      <w:bookmarkStart w:id="295" w:name="_Toc14093394"/>
      <w:bookmarkStart w:id="296" w:name="_Toc14094568"/>
      <w:bookmarkStart w:id="297" w:name="_Toc14095597"/>
      <w:bookmarkStart w:id="298" w:name="_Toc14106065"/>
      <w:bookmarkStart w:id="299" w:name="_Toc14111923"/>
      <w:bookmarkStart w:id="300" w:name="_Toc14179408"/>
      <w:bookmarkStart w:id="301" w:name="_Toc22488201"/>
      <w:r w:rsidRPr="00EE37F5">
        <w:rPr>
          <w:u w:val="single"/>
        </w:rPr>
        <w:t>Priyanka Narayan</w:t>
      </w:r>
      <w:r>
        <w:rPr>
          <w:u w:val="single"/>
        </w:rPr>
        <w:t xml:space="preserve"> 2018 </w:t>
      </w:r>
      <w:r>
        <w:t>(Journalist) 25 July 2018 “</w:t>
      </w:r>
      <w:r w:rsidRPr="00EE37F5">
        <w:t>What happens if Trump taps the Strategic Petroleum Reserve</w:t>
      </w:r>
      <w:r>
        <w:t xml:space="preserve">” </w:t>
      </w:r>
      <w:hyperlink r:id="rId48" w:history="1">
        <w:r w:rsidRPr="00EE37F5">
          <w:rPr>
            <w:rStyle w:val="Hyperlink"/>
          </w:rPr>
          <w:t>https://www.cnbc.com/2018/07/24/what-happens-if-president-trump-taps-the-strategic-petroleum-reserve.html</w:t>
        </w:r>
        <w:bookmarkEnd w:id="293"/>
        <w:bookmarkEnd w:id="294"/>
        <w:bookmarkEnd w:id="295"/>
        <w:bookmarkEnd w:id="296"/>
        <w:bookmarkEnd w:id="297"/>
        <w:bookmarkEnd w:id="298"/>
        <w:bookmarkEnd w:id="299"/>
        <w:bookmarkEnd w:id="300"/>
        <w:bookmarkEnd w:id="301"/>
      </w:hyperlink>
      <w:r>
        <w:t xml:space="preserve"> </w:t>
      </w:r>
    </w:p>
    <w:p w14:paraId="1FF4880D" w14:textId="77777777" w:rsidR="00B46213" w:rsidRPr="00B46213" w:rsidRDefault="00B46213" w:rsidP="00B46213">
      <w:pPr>
        <w:pStyle w:val="Evidence"/>
      </w:pPr>
      <w:r w:rsidRPr="00B46213">
        <w:t xml:space="preserve">Experts say this would set a precedent. </w:t>
      </w:r>
      <w:r w:rsidRPr="00EE37F5">
        <w:rPr>
          <w:u w:val="single"/>
        </w:rPr>
        <w:t xml:space="preserve">Antoine </w:t>
      </w:r>
      <w:proofErr w:type="spellStart"/>
      <w:r w:rsidRPr="00EE37F5">
        <w:rPr>
          <w:u w:val="single"/>
        </w:rPr>
        <w:t>Halff</w:t>
      </w:r>
      <w:proofErr w:type="spellEnd"/>
      <w:r w:rsidRPr="00EE37F5">
        <w:rPr>
          <w:u w:val="single"/>
        </w:rPr>
        <w:t>, senior research scholar and the head of the program on global oil markets at Columbia University’s Center on Global Energy Policy, said the SPR was never officially or explicitly intended as a tool of price management in order to reduce oil prices. Instead, it is to be used as a buffer stock of oil in an emergency and as a deterrent against the use of oil as a political weapon.</w:t>
      </w:r>
    </w:p>
    <w:p w14:paraId="4B51C710" w14:textId="7BB2B1CA" w:rsidR="00B46213" w:rsidRDefault="00AC49B0" w:rsidP="00436AAC">
      <w:pPr>
        <w:pStyle w:val="Contention2"/>
      </w:pPr>
      <w:bookmarkStart w:id="302" w:name="_Toc22383966"/>
      <w:r>
        <w:t>Markets and prices</w:t>
      </w:r>
      <w:r w:rsidR="00436AAC">
        <w:t xml:space="preserve"> balance out</w:t>
      </w:r>
      <w:r>
        <w:t xml:space="preserve"> supply and demand just fine, and solve for potential shortages</w:t>
      </w:r>
      <w:bookmarkEnd w:id="302"/>
      <w:r>
        <w:t xml:space="preserve"> </w:t>
      </w:r>
    </w:p>
    <w:p w14:paraId="0A36BB88" w14:textId="242AB5EC" w:rsidR="00436AAC" w:rsidRPr="00436AAC" w:rsidRDefault="00436AAC" w:rsidP="00436AAC">
      <w:pPr>
        <w:pStyle w:val="Citation3"/>
      </w:pPr>
      <w:bookmarkStart w:id="303" w:name="_Toc14023355"/>
      <w:bookmarkStart w:id="304" w:name="_Toc14092268"/>
      <w:bookmarkStart w:id="305" w:name="_Toc14093395"/>
      <w:bookmarkStart w:id="306" w:name="_Toc14094569"/>
      <w:bookmarkStart w:id="307" w:name="_Toc14095598"/>
      <w:bookmarkStart w:id="308" w:name="_Toc14106066"/>
      <w:bookmarkStart w:id="309" w:name="_Toc14111924"/>
      <w:bookmarkStart w:id="310" w:name="_Toc14179409"/>
      <w:bookmarkStart w:id="311" w:name="_Toc22488202"/>
      <w:r w:rsidRPr="00436AAC">
        <w:rPr>
          <w:u w:val="single"/>
        </w:rPr>
        <w:t>Jeffrey A. Tucker</w:t>
      </w:r>
      <w:r>
        <w:rPr>
          <w:u w:val="single"/>
        </w:rPr>
        <w:t xml:space="preserve"> 2015 </w:t>
      </w:r>
      <w:r>
        <w:t>(</w:t>
      </w:r>
      <w:r w:rsidRPr="00436AAC">
        <w:t xml:space="preserve">former Director of Content for the Foundation for Economic Education. He is the Editorial Director at the American </w:t>
      </w:r>
      <w:r w:rsidR="00CB458D">
        <w:t>Institute for Economic Research</w:t>
      </w:r>
      <w:r>
        <w:t>) 19 March 2015 “</w:t>
      </w:r>
      <w:r w:rsidRPr="00436AAC">
        <w:t>Oil Boom and Government Glut</w:t>
      </w:r>
      <w:r>
        <w:t>”</w:t>
      </w:r>
      <w:r w:rsidRPr="00436AAC">
        <w:rPr>
          <w:i w:val="0"/>
          <w:sz w:val="22"/>
        </w:rPr>
        <w:t xml:space="preserve"> </w:t>
      </w:r>
      <w:hyperlink r:id="rId49" w:history="1">
        <w:r w:rsidRPr="00436AAC">
          <w:rPr>
            <w:rStyle w:val="Hyperlink"/>
          </w:rPr>
          <w:t>https://fee.org/articles/oil-boom-and-government-glut/</w:t>
        </w:r>
        <w:bookmarkEnd w:id="303"/>
        <w:bookmarkEnd w:id="304"/>
        <w:bookmarkEnd w:id="305"/>
        <w:bookmarkEnd w:id="306"/>
        <w:bookmarkEnd w:id="307"/>
        <w:bookmarkEnd w:id="308"/>
        <w:bookmarkEnd w:id="309"/>
        <w:bookmarkEnd w:id="310"/>
        <w:bookmarkEnd w:id="311"/>
      </w:hyperlink>
    </w:p>
    <w:p w14:paraId="453230D2" w14:textId="77777777" w:rsidR="00436AAC" w:rsidRDefault="00436AAC" w:rsidP="00436AAC">
      <w:pPr>
        <w:pStyle w:val="Evidence"/>
        <w:rPr>
          <w:u w:val="single"/>
        </w:rPr>
      </w:pPr>
      <w:r w:rsidRPr="00436AAC">
        <w:t xml:space="preserve">But </w:t>
      </w:r>
      <w:r w:rsidRPr="00436AAC">
        <w:rPr>
          <w:u w:val="single"/>
        </w:rPr>
        <w:t>far from seeing “disruption,” we are seeing more and better distribution</w:t>
      </w:r>
      <w:r w:rsidRPr="00436AAC">
        <w:t xml:space="preserve">. You can tell from its language that this is the most thrown-back program imaginable. It illustrates a complete lack of understanding of the price system, which is the signaling mechanism that reveals shortages and surpluses in the market. </w:t>
      </w:r>
      <w:r w:rsidRPr="00436AAC">
        <w:rPr>
          <w:u w:val="single"/>
        </w:rPr>
        <w:t>Prices coordinate the interests of buyers and sellers with facts about underlying scarcity. Rising prices signal facts about supply and demand, incentivizing less consumption and more production. Falling prices encourage consumers to buy more and producers to make less.</w:t>
      </w:r>
    </w:p>
    <w:p w14:paraId="097C567F" w14:textId="5514E7AF" w:rsidR="005964AD" w:rsidRDefault="005964AD" w:rsidP="005964AD">
      <w:pPr>
        <w:pStyle w:val="Contention2"/>
      </w:pPr>
      <w:bookmarkStart w:id="312" w:name="_Toc22383967"/>
      <w:r>
        <w:t>Example: the free market lowered prices in 2008</w:t>
      </w:r>
      <w:r w:rsidR="00AC49B0">
        <w:t xml:space="preserve"> after big price spike</w:t>
      </w:r>
      <w:bookmarkEnd w:id="312"/>
    </w:p>
    <w:p w14:paraId="0F034944" w14:textId="77777777" w:rsidR="005964AD" w:rsidRPr="005964AD" w:rsidRDefault="005964AD" w:rsidP="005964AD">
      <w:pPr>
        <w:pStyle w:val="Citation3"/>
      </w:pPr>
      <w:bookmarkStart w:id="313" w:name="_Toc14106067"/>
      <w:bookmarkStart w:id="314" w:name="_Toc14111925"/>
      <w:bookmarkStart w:id="315" w:name="_Toc14179410"/>
      <w:bookmarkStart w:id="316" w:name="_Toc22488203"/>
      <w:r w:rsidRPr="005964AD">
        <w:rPr>
          <w:u w:val="single"/>
        </w:rPr>
        <w:t>Steve Chapman</w:t>
      </w:r>
      <w:r>
        <w:rPr>
          <w:u w:val="single"/>
        </w:rPr>
        <w:t xml:space="preserve"> 2017 </w:t>
      </w:r>
      <w:r>
        <w:t>(</w:t>
      </w:r>
      <w:r w:rsidRPr="005964AD">
        <w:t>columnist and editorial writer for the Chicago Tribune</w:t>
      </w:r>
      <w:r>
        <w:t>) 26 May 2017 “</w:t>
      </w:r>
      <w:r w:rsidRPr="005964AD">
        <w:t>Why selling off the oil reserve is a good idea</w:t>
      </w:r>
      <w:r>
        <w:t xml:space="preserve">” </w:t>
      </w:r>
      <w:hyperlink r:id="rId50" w:history="1">
        <w:r w:rsidRPr="005964AD">
          <w:rPr>
            <w:rStyle w:val="Hyperlink"/>
          </w:rPr>
          <w:t>https://www.chicagotribune.com/columns/steve-chapman/ct-strategic-petroleum-reserve-oil-chapman-perspec-0528-md-20170526-column.html</w:t>
        </w:r>
        <w:bookmarkEnd w:id="313"/>
        <w:bookmarkEnd w:id="314"/>
        <w:bookmarkEnd w:id="315"/>
        <w:bookmarkEnd w:id="316"/>
      </w:hyperlink>
    </w:p>
    <w:p w14:paraId="2C142334" w14:textId="77777777" w:rsidR="005964AD" w:rsidRDefault="005964AD" w:rsidP="005964AD">
      <w:pPr>
        <w:pStyle w:val="Evidence"/>
      </w:pPr>
      <w:r w:rsidRPr="005964AD">
        <w:t>In the summer of 2008, world oil prices soared to more than $140 a barrel — but not for long. The increase fattened profits, which encouraged more production, which expanded supplies, which reduced prices. By the end of the year, oil was fetching just $30 a barrel.</w:t>
      </w:r>
    </w:p>
    <w:p w14:paraId="6D244097" w14:textId="77777777" w:rsidR="00B02C10" w:rsidRDefault="00B02C10" w:rsidP="00B02C10">
      <w:pPr>
        <w:pStyle w:val="Contention2"/>
      </w:pPr>
      <w:bookmarkStart w:id="317" w:name="_Toc22383968"/>
      <w:r>
        <w:t>SPR releases for economic benefit don’t work</w:t>
      </w:r>
      <w:bookmarkEnd w:id="317"/>
    </w:p>
    <w:p w14:paraId="22CED778" w14:textId="687B8E86" w:rsidR="00B02C10" w:rsidRDefault="00B02C10" w:rsidP="00B02C10">
      <w:pPr>
        <w:pStyle w:val="Citation3"/>
      </w:pPr>
      <w:bookmarkStart w:id="318" w:name="_Toc22488204"/>
      <w:r w:rsidRPr="00B02C10">
        <w:rPr>
          <w:u w:val="single"/>
        </w:rPr>
        <w:t>CNBC 2018</w:t>
      </w:r>
      <w:r w:rsidRPr="00250144">
        <w:t>. “What happens if Trump taps the Strategic Petroleum Reserve</w:t>
      </w:r>
      <w:r>
        <w:t>”</w:t>
      </w:r>
      <w:r w:rsidR="00723C19">
        <w:t xml:space="preserve"> </w:t>
      </w:r>
      <w:r>
        <w:t xml:space="preserve">25 July 2018 </w:t>
      </w:r>
      <w:hyperlink r:id="rId51" w:history="1">
        <w:r>
          <w:rPr>
            <w:rStyle w:val="Hyperlink"/>
          </w:rPr>
          <w:t>https://www.cnbc.com/2018/07/24/what-happens-if-president-trump-taps-the-strategic-petroleum-reserve.html</w:t>
        </w:r>
        <w:bookmarkEnd w:id="318"/>
      </w:hyperlink>
    </w:p>
    <w:p w14:paraId="742CDEBF" w14:textId="77777777" w:rsidR="00B02C10" w:rsidRPr="00250144" w:rsidRDefault="00B02C10" w:rsidP="00B02C10">
      <w:pPr>
        <w:pStyle w:val="Evidence"/>
      </w:pPr>
      <w:r w:rsidRPr="00250144">
        <w:t>Kenneth B. Medlock III, senior director of the Center for Energy Studies at Rice University’s Baker Institute, said there is a stronger correlation in the historical data between commercial oil stocks and oil prices than any SPR release. He believes that the delay between the decision to tap the reserve and actual sales of barrels is undercut by markets that have already adjusted. For example, if a decision was made in late July to tap the reserve, it would not have an effect in the market until Labor Day. “There is little evidence to support the SPR having been used to successfully stimulate economic activity, particularly when one considers all of the various factors that factor into the economy,” Medlock said.</w:t>
      </w:r>
    </w:p>
    <w:p w14:paraId="4BA1B7E0" w14:textId="50801D25" w:rsidR="00D900E8" w:rsidRDefault="00D900E8" w:rsidP="00D900E8">
      <w:pPr>
        <w:pStyle w:val="Contention2"/>
      </w:pPr>
      <w:bookmarkStart w:id="319" w:name="_Toc22383969"/>
      <w:r>
        <w:lastRenderedPageBreak/>
        <w:t>Mixed market impact result</w:t>
      </w:r>
      <w:r w:rsidR="005964AD">
        <w:t>ed</w:t>
      </w:r>
      <w:r>
        <w:t xml:space="preserve"> when we sold oil from the reserve in the past</w:t>
      </w:r>
      <w:bookmarkEnd w:id="319"/>
    </w:p>
    <w:p w14:paraId="324B46E9" w14:textId="48DB8D85" w:rsidR="00D900E8" w:rsidRPr="00A4476F" w:rsidRDefault="00D900E8" w:rsidP="00D900E8">
      <w:pPr>
        <w:pStyle w:val="Citation3"/>
      </w:pPr>
      <w:bookmarkStart w:id="320" w:name="_Toc14093396"/>
      <w:bookmarkStart w:id="321" w:name="_Toc14094570"/>
      <w:bookmarkStart w:id="322" w:name="_Toc14095599"/>
      <w:bookmarkStart w:id="323" w:name="_Toc14106068"/>
      <w:bookmarkStart w:id="324" w:name="_Toc14111926"/>
      <w:bookmarkStart w:id="325" w:name="_Toc14179411"/>
      <w:bookmarkStart w:id="326" w:name="_Toc22488205"/>
      <w:r w:rsidRPr="00A4476F">
        <w:rPr>
          <w:u w:val="single"/>
        </w:rPr>
        <w:t>JASON BORDOFF, ANTOINE HALFF AND AKOS LOSZ</w:t>
      </w:r>
      <w:r>
        <w:rPr>
          <w:u w:val="single"/>
        </w:rPr>
        <w:t xml:space="preserve"> 2018</w:t>
      </w:r>
      <w:r w:rsidRPr="00CB458D">
        <w:t xml:space="preserve"> (</w:t>
      </w:r>
      <w:proofErr w:type="spellStart"/>
      <w:r w:rsidRPr="00CB458D">
        <w:t>Bordof</w:t>
      </w:r>
      <w:proofErr w:type="spellEnd"/>
      <w:r w:rsidRPr="00CB458D">
        <w:t xml:space="preserve"> </w:t>
      </w:r>
      <w:r w:rsidR="00AC49B0">
        <w:t>-</w:t>
      </w:r>
      <w:r w:rsidRPr="00CB458D">
        <w:t xml:space="preserve"> former senior director on the staff of the National Security Council and special assistant to President Obama</w:t>
      </w:r>
      <w:r w:rsidR="00CB458D">
        <w:t>;</w:t>
      </w:r>
      <w:r w:rsidRPr="00CB458D">
        <w:t xml:space="preserve"> founding director of the Center on Global Energy Policy at Columbia Univ. </w:t>
      </w:r>
      <w:proofErr w:type="spellStart"/>
      <w:r w:rsidRPr="00CB458D">
        <w:t>Half</w:t>
      </w:r>
      <w:r w:rsidR="00CB458D">
        <w:t>f</w:t>
      </w:r>
      <w:proofErr w:type="spellEnd"/>
      <w:r w:rsidRPr="00CB458D">
        <w:t xml:space="preserve"> is a Senior Research Scholar and Director for Global Oil Markets at the Center on Global Energy Policy, Colum</w:t>
      </w:r>
      <w:r w:rsidR="00CB458D">
        <w:t xml:space="preserve">bia Univ.; </w:t>
      </w:r>
      <w:r w:rsidRPr="00CB458D">
        <w:t xml:space="preserve">previously served as chief oil analyst of the </w:t>
      </w:r>
      <w:r w:rsidR="00AC49B0">
        <w:t>International Energy Agency</w:t>
      </w:r>
      <w:r w:rsidRPr="00CB458D">
        <w:t xml:space="preserve">. </w:t>
      </w:r>
      <w:r w:rsidR="00AC49B0">
        <w:t>Formerly</w:t>
      </w:r>
      <w:r w:rsidRPr="00CB458D">
        <w:t xml:space="preserve"> lead industry economist at the US Energy Information Administration. </w:t>
      </w:r>
      <w:proofErr w:type="spellStart"/>
      <w:r w:rsidRPr="00CB458D">
        <w:t>Losz</w:t>
      </w:r>
      <w:proofErr w:type="spellEnd"/>
      <w:r w:rsidRPr="00CB458D">
        <w:t xml:space="preserve"> is a senior research associate for the Center on Global Energy Policy) May 2018 “NEW REALITIES, NEW RISKS: RETHINKING THE STRATEGIC PETROLEUM RESERVE” </w:t>
      </w:r>
      <w:hyperlink r:id="rId52" w:history="1">
        <w:r w:rsidR="00723C19" w:rsidRPr="001C3AE0">
          <w:rPr>
            <w:rStyle w:val="Hyperlink"/>
          </w:rPr>
          <w:t>https://energypolicy.columbia.edu/research/report/new-realities-new-risks-rethinking-strategic-petroleum-reserve</w:t>
        </w:r>
        <w:bookmarkEnd w:id="326"/>
      </w:hyperlink>
      <w:bookmarkEnd w:id="320"/>
      <w:bookmarkEnd w:id="321"/>
      <w:bookmarkEnd w:id="322"/>
      <w:bookmarkEnd w:id="323"/>
      <w:bookmarkEnd w:id="324"/>
      <w:bookmarkEnd w:id="325"/>
      <w:r w:rsidR="00723C19">
        <w:t xml:space="preserve">  </w:t>
      </w:r>
    </w:p>
    <w:p w14:paraId="2FCDC984" w14:textId="77777777" w:rsidR="00D900E8" w:rsidRDefault="00D900E8" w:rsidP="00D900E8">
      <w:pPr>
        <w:pStyle w:val="Evidence"/>
        <w:rPr>
          <w:u w:val="single"/>
        </w:rPr>
      </w:pPr>
      <w:r w:rsidRPr="00D900E8">
        <w:rPr>
          <w:u w:val="single"/>
        </w:rPr>
        <w:t>US presidents under the Energy Policy and Conservation Act of 1975 have directed three major releases from the SPR to date</w:t>
      </w:r>
      <w:r w:rsidRPr="00D900E8">
        <w:t xml:space="preserve">: during the 1991 Gulf War, during Hurricane Katrina in 2005, and in the aftermath of the Libyan civil war in 2011. </w:t>
      </w:r>
      <w:r w:rsidRPr="00D900E8">
        <w:rPr>
          <w:u w:val="single"/>
        </w:rPr>
        <w:t>Each of these releases took place as part of a coordinated action among IEA member states. Given the lack of counterfactual evidence, it is difficult to evaluate past uses of strategic reserves with any degree of certainty. But to the extent it is possible to draw conclusions from the historical experience, the record of previous SPR releases in terms of timeliness, effectiveness, and overall market impact appears mixed at best.</w:t>
      </w:r>
    </w:p>
    <w:p w14:paraId="4F9A3E1B" w14:textId="10683BAD" w:rsidR="005964AD" w:rsidRDefault="005964AD" w:rsidP="005964AD">
      <w:pPr>
        <w:pStyle w:val="Contention2"/>
      </w:pPr>
      <w:bookmarkStart w:id="327" w:name="_Toc22383970"/>
      <w:r>
        <w:t>Even if the SPR could lower oil prices, the downsides of government interference in the free market outweigh the cost advantage</w:t>
      </w:r>
      <w:bookmarkEnd w:id="327"/>
    </w:p>
    <w:p w14:paraId="2CD0399D" w14:textId="0615F924" w:rsidR="00D669F2" w:rsidRPr="00D669F2" w:rsidRDefault="00D669F2" w:rsidP="00D669F2">
      <w:pPr>
        <w:pStyle w:val="Citation3"/>
        <w:rPr>
          <w:u w:val="single"/>
        </w:rPr>
      </w:pPr>
      <w:bookmarkStart w:id="328" w:name="_Toc14106069"/>
      <w:bookmarkStart w:id="329" w:name="_Toc14111927"/>
      <w:bookmarkStart w:id="330" w:name="_Toc14179412"/>
      <w:bookmarkStart w:id="331" w:name="_Toc22488206"/>
      <w:r>
        <w:rPr>
          <w:u w:val="single"/>
        </w:rPr>
        <w:t>J</w:t>
      </w:r>
      <w:r w:rsidRPr="00D669F2">
        <w:rPr>
          <w:u w:val="single"/>
        </w:rPr>
        <w:t>erry Taylor</w:t>
      </w:r>
      <w:r>
        <w:rPr>
          <w:u w:val="single"/>
        </w:rPr>
        <w:t xml:space="preserve"> 2000 </w:t>
      </w:r>
      <w:r>
        <w:t>(</w:t>
      </w:r>
      <w:r w:rsidRPr="00D669F2">
        <w:t xml:space="preserve">president of the </w:t>
      </w:r>
      <w:proofErr w:type="spellStart"/>
      <w:r w:rsidRPr="00D669F2">
        <w:t>Niskanen</w:t>
      </w:r>
      <w:proofErr w:type="spellEnd"/>
      <w:r w:rsidRPr="00D669F2">
        <w:t xml:space="preserve"> Center</w:t>
      </w:r>
      <w:r>
        <w:t xml:space="preserve">; </w:t>
      </w:r>
      <w:r w:rsidRPr="00D669F2">
        <w:t>has served on several congressional advisory bodies and has testified frequently on Capitol Hill regarding various energy and environme</w:t>
      </w:r>
      <w:r>
        <w:t>ntal policy matters.</w:t>
      </w:r>
      <w:r w:rsidRPr="00D669F2">
        <w:rPr>
          <w:rFonts w:ascii="Georgia" w:hAnsi="Georgia"/>
          <w:i w:val="0"/>
          <w:color w:val="222222"/>
          <w:sz w:val="23"/>
          <w:szCs w:val="23"/>
          <w:shd w:val="clear" w:color="auto" w:fill="FFFFFF"/>
        </w:rPr>
        <w:t xml:space="preserve"> </w:t>
      </w:r>
      <w:r w:rsidRPr="00D669F2">
        <w:t>Taylor is a member of the International A</w:t>
      </w:r>
      <w:r w:rsidR="00AC49B0">
        <w:t xml:space="preserve">ssociation for Energy Economics; </w:t>
      </w:r>
      <w:r>
        <w:t xml:space="preserve">former </w:t>
      </w:r>
      <w:r w:rsidRPr="00D669F2">
        <w:rPr>
          <w:iCs/>
        </w:rPr>
        <w:t>Director of Natural Resource Studies at the Cato Institute</w:t>
      </w:r>
      <w:r>
        <w:t>) 26 Sept 2000 “</w:t>
      </w:r>
      <w:r w:rsidRPr="00D669F2">
        <w:t>Drain the strategic petroleum reserve</w:t>
      </w:r>
      <w:r>
        <w:t xml:space="preserve">” </w:t>
      </w:r>
      <w:hyperlink r:id="rId53" w:history="1">
        <w:r w:rsidRPr="00D669F2">
          <w:rPr>
            <w:rStyle w:val="Hyperlink"/>
          </w:rPr>
          <w:t>https://www.cato.org/publications/commentary/drain-strategic-petroleum-reserve</w:t>
        </w:r>
        <w:bookmarkEnd w:id="328"/>
        <w:bookmarkEnd w:id="329"/>
        <w:bookmarkEnd w:id="330"/>
        <w:bookmarkEnd w:id="331"/>
      </w:hyperlink>
    </w:p>
    <w:p w14:paraId="748035DE" w14:textId="77777777" w:rsidR="005964AD" w:rsidRPr="005964AD" w:rsidRDefault="005964AD" w:rsidP="005964AD">
      <w:pPr>
        <w:pStyle w:val="Evidence"/>
      </w:pPr>
      <w:r w:rsidRPr="005964AD">
        <w:t>But even if releasing the SPR is effective at manipulating domestic prices, using it this way sets a dangerous precedent. The idea that government should be in the business of wholesaling important commodities is the path to economic ruin. That’s why we should open up the reserves, drain them as fast as possible, and shut down the reserve permanently.</w:t>
      </w:r>
    </w:p>
    <w:p w14:paraId="6BCEF0D0" w14:textId="4CEC0832" w:rsidR="00436AAC" w:rsidRDefault="00A4476F" w:rsidP="00A4476F">
      <w:pPr>
        <w:pStyle w:val="Contention1"/>
      </w:pPr>
      <w:bookmarkStart w:id="332" w:name="_Toc22383971"/>
      <w:r>
        <w:t>A/T</w:t>
      </w:r>
      <w:r w:rsidR="00AC49B0">
        <w:t xml:space="preserve"> “B</w:t>
      </w:r>
      <w:r w:rsidR="00BB0768">
        <w:t xml:space="preserve">reak </w:t>
      </w:r>
      <w:r w:rsidR="00AC49B0">
        <w:t>IEA agreement</w:t>
      </w:r>
      <w:r w:rsidR="00BB0768">
        <w:t xml:space="preserve"> that </w:t>
      </w:r>
      <w:r w:rsidR="00AC49B0">
        <w:t>requiring</w:t>
      </w:r>
      <w:r w:rsidR="00BB0768">
        <w:t xml:space="preserve"> 90 days of imports on reserve”</w:t>
      </w:r>
      <w:bookmarkEnd w:id="332"/>
    </w:p>
    <w:p w14:paraId="265A90F8" w14:textId="108522FA" w:rsidR="00AC49B0" w:rsidRDefault="00AC49B0" w:rsidP="00BB0768">
      <w:pPr>
        <w:pStyle w:val="Contention2"/>
      </w:pPr>
      <w:bookmarkStart w:id="333" w:name="_Toc22383972"/>
      <w:r>
        <w:t>Easiest response:</w:t>
      </w:r>
      <w:r w:rsidR="00723C19">
        <w:t xml:space="preserve"> </w:t>
      </w:r>
      <w:proofErr w:type="gramStart"/>
      <w:r>
        <w:t>So</w:t>
      </w:r>
      <w:proofErr w:type="gramEnd"/>
      <w:r>
        <w:t xml:space="preserve"> What?</w:t>
      </w:r>
      <w:bookmarkEnd w:id="333"/>
    </w:p>
    <w:p w14:paraId="1CC3AA02" w14:textId="30ED5C35" w:rsidR="00AC49B0" w:rsidRDefault="00AC49B0" w:rsidP="00AC49B0">
      <w:pPr>
        <w:pStyle w:val="Evidence"/>
      </w:pPr>
      <w:r>
        <w:t>Unless this has some impact (people getting hurt because the US gets kicked out of the IEA), it’s not a voting issue.</w:t>
      </w:r>
    </w:p>
    <w:p w14:paraId="71C21270" w14:textId="793CA388" w:rsidR="00BB0768" w:rsidRDefault="00BB0768" w:rsidP="00BB0768">
      <w:pPr>
        <w:pStyle w:val="Contention2"/>
      </w:pPr>
      <w:bookmarkStart w:id="334" w:name="_Toc22383973"/>
      <w:r>
        <w:lastRenderedPageBreak/>
        <w:t xml:space="preserve">We can uphold the </w:t>
      </w:r>
      <w:r w:rsidR="00AC49B0">
        <w:t>agreement</w:t>
      </w:r>
      <w:r>
        <w:t xml:space="preserve"> through private reserves</w:t>
      </w:r>
      <w:bookmarkEnd w:id="334"/>
    </w:p>
    <w:p w14:paraId="1516585F" w14:textId="249CDC64" w:rsidR="00AC49B0" w:rsidRPr="00A4476F" w:rsidRDefault="00AC49B0" w:rsidP="00AC49B0">
      <w:pPr>
        <w:pStyle w:val="Citation3"/>
      </w:pPr>
      <w:bookmarkStart w:id="335" w:name="_Toc22488207"/>
      <w:r>
        <w:rPr>
          <w:u w:val="single"/>
        </w:rPr>
        <w:t xml:space="preserve">Jason </w:t>
      </w:r>
      <w:proofErr w:type="spellStart"/>
      <w:r>
        <w:rPr>
          <w:u w:val="single"/>
        </w:rPr>
        <w:t>Bordoff</w:t>
      </w:r>
      <w:proofErr w:type="spellEnd"/>
      <w:r>
        <w:rPr>
          <w:u w:val="single"/>
        </w:rPr>
        <w:t xml:space="preserve">, Antoine </w:t>
      </w:r>
      <w:proofErr w:type="spellStart"/>
      <w:r>
        <w:rPr>
          <w:u w:val="single"/>
        </w:rPr>
        <w:t>Halff</w:t>
      </w:r>
      <w:proofErr w:type="spellEnd"/>
      <w:r>
        <w:rPr>
          <w:u w:val="single"/>
        </w:rPr>
        <w:t xml:space="preserve"> and </w:t>
      </w:r>
      <w:proofErr w:type="spellStart"/>
      <w:r>
        <w:rPr>
          <w:u w:val="single"/>
        </w:rPr>
        <w:t>Akos</w:t>
      </w:r>
      <w:proofErr w:type="spellEnd"/>
      <w:r>
        <w:rPr>
          <w:u w:val="single"/>
        </w:rPr>
        <w:t xml:space="preserve"> </w:t>
      </w:r>
      <w:proofErr w:type="spellStart"/>
      <w:r>
        <w:rPr>
          <w:u w:val="single"/>
        </w:rPr>
        <w:t>Losz</w:t>
      </w:r>
      <w:proofErr w:type="spellEnd"/>
      <w:r>
        <w:rPr>
          <w:u w:val="single"/>
        </w:rPr>
        <w:t xml:space="preserve"> 2018</w:t>
      </w:r>
      <w:r w:rsidRPr="00CB458D">
        <w:t xml:space="preserve"> (</w:t>
      </w:r>
      <w:proofErr w:type="spellStart"/>
      <w:r w:rsidRPr="00CB458D">
        <w:t>Bordo</w:t>
      </w:r>
      <w:r>
        <w:t>f</w:t>
      </w:r>
      <w:r w:rsidRPr="00CB458D">
        <w:t>f</w:t>
      </w:r>
      <w:proofErr w:type="spellEnd"/>
      <w:r w:rsidRPr="00CB458D">
        <w:t xml:space="preserve"> </w:t>
      </w:r>
      <w:r>
        <w:t>-</w:t>
      </w:r>
      <w:r w:rsidRPr="00CB458D">
        <w:t xml:space="preserve"> former senior director on the staff of the National Security Council and special assistant to President Obama</w:t>
      </w:r>
      <w:r>
        <w:t>;</w:t>
      </w:r>
      <w:r w:rsidRPr="00CB458D">
        <w:t xml:space="preserve"> founding director of the Center on Global Energy Policy at Columbia Univ. </w:t>
      </w:r>
      <w:proofErr w:type="spellStart"/>
      <w:r w:rsidRPr="00CB458D">
        <w:t>Half</w:t>
      </w:r>
      <w:r>
        <w:t>f</w:t>
      </w:r>
      <w:proofErr w:type="spellEnd"/>
      <w:r w:rsidRPr="00CB458D">
        <w:t xml:space="preserve"> is a Senior Research Scholar and Director for Global Oil Markets at the Center on Global Energy Policy, Colum</w:t>
      </w:r>
      <w:r>
        <w:t xml:space="preserve">bia Univ.; </w:t>
      </w:r>
      <w:r w:rsidRPr="00CB458D">
        <w:t xml:space="preserve">previously served as chief oil analyst of the </w:t>
      </w:r>
      <w:r>
        <w:t>International Energy Agency</w:t>
      </w:r>
      <w:r w:rsidRPr="00CB458D">
        <w:t xml:space="preserve">. </w:t>
      </w:r>
      <w:r>
        <w:t>Formerly</w:t>
      </w:r>
      <w:r w:rsidRPr="00CB458D">
        <w:t xml:space="preserve"> lead industry economist at the US Energy Information Administration. </w:t>
      </w:r>
      <w:proofErr w:type="spellStart"/>
      <w:r w:rsidRPr="00CB458D">
        <w:t>Losz</w:t>
      </w:r>
      <w:proofErr w:type="spellEnd"/>
      <w:r w:rsidRPr="00CB458D">
        <w:t xml:space="preserve"> is a senior research associate for the Center on Global Energy Policy) May 2018 “NEW REALITIES, NEW RISKS: RETHINKING THE STRATEGIC PETROLEUM RESERVE” </w:t>
      </w:r>
      <w:hyperlink r:id="rId54" w:history="1">
        <w:r w:rsidR="00723C19" w:rsidRPr="001C3AE0">
          <w:rPr>
            <w:rStyle w:val="Hyperlink"/>
          </w:rPr>
          <w:t>https://energypolicy.columbia.edu/research/report/new-realities-new-risks-rethinking-strategic-petroleum-reserve</w:t>
        </w:r>
        <w:bookmarkEnd w:id="335"/>
      </w:hyperlink>
      <w:r w:rsidR="00723C19">
        <w:t xml:space="preserve">  </w:t>
      </w:r>
    </w:p>
    <w:p w14:paraId="75D814C5" w14:textId="67269DB8" w:rsidR="00BB0768" w:rsidRDefault="00BB0768" w:rsidP="00BB0768">
      <w:pPr>
        <w:pStyle w:val="Evidence"/>
      </w:pPr>
      <w:r w:rsidRPr="00BB0768">
        <w:rPr>
          <w:u w:val="single"/>
        </w:rPr>
        <w:t>By reducing net import requirements, rising domestic oil production has called into question the need to maintain strategic reserves as high as they currently are.</w:t>
      </w:r>
      <w:r w:rsidRPr="00BB0768">
        <w:t xml:space="preserve"> One of the effects of the plunge in US net oil imports has been to boost the size of the SPR relative to imports. </w:t>
      </w:r>
      <w:r w:rsidRPr="00BB0768">
        <w:rPr>
          <w:u w:val="single"/>
        </w:rPr>
        <w:t>US strategic reserves now far exceed the IEA’s stock cover requirement</w:t>
      </w:r>
      <w:r w:rsidRPr="00BB0768">
        <w:t xml:space="preserve">. As noted above, </w:t>
      </w:r>
      <w:r w:rsidRPr="00BB0768">
        <w:rPr>
          <w:u w:val="single"/>
        </w:rPr>
        <w:t>IEA member countries are required to hold stocks of crude oil or petroleum products equal to at least 90 days of total net petroleum imports</w:t>
      </w:r>
      <w:r w:rsidRPr="00BB0768">
        <w:t xml:space="preserve">. As of early January 2018, the US SPR was sufficient to cover 193 days of net petroleum imports, more than twice the amount required by the IEA. </w:t>
      </w:r>
      <w:r w:rsidRPr="00BB0768">
        <w:rPr>
          <w:u w:val="single"/>
        </w:rPr>
        <w:t>This figure excludes private oil stocks, which could also be used to meet IEA stockholding obligations.</w:t>
      </w:r>
      <w:r w:rsidRPr="00BB0768">
        <w:t xml:space="preserve"> </w:t>
      </w:r>
    </w:p>
    <w:p w14:paraId="3841DF9F" w14:textId="2C5CEFFC" w:rsidR="00BB0768" w:rsidRDefault="00BB0768" w:rsidP="00BB0768">
      <w:pPr>
        <w:pStyle w:val="Contention2"/>
      </w:pPr>
      <w:bookmarkStart w:id="336" w:name="_Toc22383974"/>
      <w:r>
        <w:t>We are allowed to fulfill the requirement through private reserves</w:t>
      </w:r>
      <w:bookmarkEnd w:id="336"/>
    </w:p>
    <w:p w14:paraId="603B07EE" w14:textId="7944481D" w:rsidR="00BB0768" w:rsidRDefault="00BB0768" w:rsidP="00BB0768">
      <w:pPr>
        <w:pStyle w:val="Citation3"/>
      </w:pPr>
      <w:bookmarkStart w:id="337" w:name="_Toc14093398"/>
      <w:bookmarkStart w:id="338" w:name="_Toc14094572"/>
      <w:bookmarkStart w:id="339" w:name="_Toc14095601"/>
      <w:bookmarkStart w:id="340" w:name="_Toc14106071"/>
      <w:bookmarkStart w:id="341" w:name="_Toc14111929"/>
      <w:bookmarkStart w:id="342" w:name="_Toc14179414"/>
      <w:bookmarkStart w:id="343" w:name="_Toc22488208"/>
      <w:r w:rsidRPr="006A399D">
        <w:rPr>
          <w:u w:val="single"/>
        </w:rPr>
        <w:t>Nicolas Loris,</w:t>
      </w:r>
      <w:r>
        <w:rPr>
          <w:u w:val="single"/>
        </w:rPr>
        <w:t xml:space="preserve"> </w:t>
      </w:r>
      <w:r w:rsidRPr="006A399D">
        <w:rPr>
          <w:u w:val="single"/>
        </w:rPr>
        <w:t>2015</w:t>
      </w:r>
      <w: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hyperlink r:id="rId55" w:history="1">
        <w:r w:rsidR="00723C19" w:rsidRPr="001C3AE0">
          <w:rPr>
            <w:rStyle w:val="Hyperlink"/>
          </w:rPr>
          <w:t>https://www.heritage.org/environment/report/why-congress-should-pull-the-plug-the-strategic-petroleum-reserve</w:t>
        </w:r>
        <w:bookmarkEnd w:id="343"/>
      </w:hyperlink>
      <w:bookmarkEnd w:id="337"/>
      <w:bookmarkEnd w:id="338"/>
      <w:bookmarkEnd w:id="339"/>
      <w:bookmarkEnd w:id="340"/>
      <w:bookmarkEnd w:id="341"/>
      <w:bookmarkEnd w:id="342"/>
      <w:r w:rsidR="00723C19">
        <w:t xml:space="preserve"> </w:t>
      </w:r>
    </w:p>
    <w:p w14:paraId="01D2EB61" w14:textId="15384FE0" w:rsidR="00BB0768" w:rsidRPr="00BB0768" w:rsidRDefault="00BB0768" w:rsidP="00BB0768">
      <w:pPr>
        <w:pStyle w:val="Evidence"/>
      </w:pPr>
      <w:r w:rsidRPr="00BB0768">
        <w:rPr>
          <w:u w:val="single"/>
        </w:rPr>
        <w:t>Member countries have the option of meeting their 90-day inventories either through stocks that the government holds, or through industry stocks that will be available to the government should the need arise, or a combination of the two.</w:t>
      </w:r>
      <w:r w:rsidRPr="00BB0768">
        <w:t xml:space="preserve"> Many member countries place minimum holding requirements on the industry. The United States is one of only three participating countries using purely government inventories, though </w:t>
      </w:r>
      <w:r w:rsidRPr="00BB0768">
        <w:rPr>
          <w:u w:val="single"/>
        </w:rPr>
        <w:t>in the past the U.S. has relied on both the SPR and private stocks to meet its 90-day obligation</w:t>
      </w:r>
      <w:r w:rsidRPr="00BB0768">
        <w:t xml:space="preserve"> because of high import levels. The privately held contribution to the IEA requirement was not part of any domestic law but does show how loosely enforced the IEA obligation is. Because surging domestic production has substantially reduced imports, the U.S. currently has 139 days of net import protection from the SPR, and 204 days of net import protection from the private sector, based on 2015 oil stock import levels, for a total of 343 days of public and industry oil inventories.</w:t>
      </w:r>
    </w:p>
    <w:p w14:paraId="247FE765" w14:textId="594B09F8" w:rsidR="00BB0768" w:rsidRDefault="00BB0768" w:rsidP="00BB0768">
      <w:pPr>
        <w:pStyle w:val="Contention2"/>
      </w:pPr>
      <w:bookmarkStart w:id="344" w:name="_Toc22383975"/>
      <w:r>
        <w:t>We have far more private reserves than in the SPR</w:t>
      </w:r>
      <w:r w:rsidR="00AC49B0">
        <w:t>, so we should sell off the SPR</w:t>
      </w:r>
      <w:bookmarkEnd w:id="344"/>
    </w:p>
    <w:p w14:paraId="59DCE55B" w14:textId="3F920E35" w:rsidR="00BB0768" w:rsidRDefault="00BB0768" w:rsidP="00BB0768">
      <w:pPr>
        <w:pStyle w:val="Citation3"/>
      </w:pPr>
      <w:bookmarkStart w:id="345" w:name="_Toc14000078"/>
      <w:bookmarkStart w:id="346" w:name="_Toc14023347"/>
      <w:bookmarkStart w:id="347" w:name="_Toc14092258"/>
      <w:bookmarkStart w:id="348" w:name="_Toc14093399"/>
      <w:bookmarkStart w:id="349" w:name="_Toc14094573"/>
      <w:bookmarkStart w:id="350" w:name="_Toc14095602"/>
      <w:bookmarkStart w:id="351" w:name="_Toc14106072"/>
      <w:bookmarkStart w:id="352" w:name="_Toc14111930"/>
      <w:bookmarkStart w:id="353" w:name="_Toc14179415"/>
      <w:bookmarkStart w:id="354" w:name="_Toc22488209"/>
      <w:r w:rsidRPr="006A399D">
        <w:rPr>
          <w:u w:val="single"/>
        </w:rPr>
        <w:t>Nicolas Loris,</w:t>
      </w:r>
      <w:r>
        <w:rPr>
          <w:u w:val="single"/>
        </w:rPr>
        <w:t xml:space="preserve"> </w:t>
      </w:r>
      <w:r w:rsidRPr="006A399D">
        <w:rPr>
          <w:u w:val="single"/>
        </w:rPr>
        <w:t>2015</w:t>
      </w:r>
      <w: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hyperlink r:id="rId56" w:history="1">
        <w:r w:rsidR="00723C19" w:rsidRPr="001C3AE0">
          <w:rPr>
            <w:rStyle w:val="Hyperlink"/>
          </w:rPr>
          <w:t>https://www.heritage.org/environment/report/why-congress-should-pull-the-plug-the-strategic-petroleum-reserve</w:t>
        </w:r>
        <w:bookmarkEnd w:id="354"/>
      </w:hyperlink>
      <w:bookmarkEnd w:id="345"/>
      <w:bookmarkEnd w:id="346"/>
      <w:bookmarkEnd w:id="347"/>
      <w:bookmarkEnd w:id="348"/>
      <w:bookmarkEnd w:id="349"/>
      <w:bookmarkEnd w:id="350"/>
      <w:bookmarkEnd w:id="351"/>
      <w:bookmarkEnd w:id="352"/>
      <w:bookmarkEnd w:id="353"/>
      <w:r w:rsidR="00723C19">
        <w:t xml:space="preserve"> </w:t>
      </w:r>
    </w:p>
    <w:p w14:paraId="5E3317F1" w14:textId="1CD13546" w:rsidR="00001AE3" w:rsidRPr="00F46719" w:rsidRDefault="00BB0768" w:rsidP="00F46719">
      <w:pPr>
        <w:pStyle w:val="Evidence"/>
        <w:rPr>
          <w:u w:val="single"/>
        </w:rPr>
      </w:pPr>
      <w:r>
        <w:t xml:space="preserve"> “The reality is that </w:t>
      </w:r>
      <w:r w:rsidRPr="006A399D">
        <w:rPr>
          <w:u w:val="single"/>
        </w:rPr>
        <w:t xml:space="preserve">the reserve has served more successfully as a political tool to boost public support of an Administration than as a mechanism to balance supply and demand. The SPR has been a useless tool for responding to supply shocks, which have occurred rarely throughout history; the free market is much more effective at responding to price signals. Eliminating the SPR would not create the perception that the U.S. is without oil reserves, as America holds an abundance of privately controlled inventory ready to distribute. America is awash in natural resources and holds </w:t>
      </w:r>
      <w:proofErr w:type="gramStart"/>
      <w:r w:rsidRPr="006A399D">
        <w:rPr>
          <w:u w:val="single"/>
        </w:rPr>
        <w:t>more crude</w:t>
      </w:r>
      <w:proofErr w:type="gramEnd"/>
      <w:r w:rsidRPr="006A399D">
        <w:rPr>
          <w:u w:val="single"/>
        </w:rPr>
        <w:t xml:space="preserve"> and petroleum products in private inventory than it does in government-controlled inventory. The U.S. should</w:t>
      </w:r>
      <w:r>
        <w:t xml:space="preserve"> withdraw from the Agreement on an International Energy Program and Congress should authorize the Department of Energy (DOE) to </w:t>
      </w:r>
      <w:r w:rsidRPr="006A399D">
        <w:rPr>
          <w:u w:val="single"/>
        </w:rPr>
        <w:t>sell off the entire reserve, specifying that the revenues generated go solely toward deficit reduction.”</w:t>
      </w:r>
    </w:p>
    <w:p w14:paraId="282A734C" w14:textId="2D49C38E" w:rsidR="00D462AA" w:rsidRDefault="00D462AA" w:rsidP="00D462AA">
      <w:pPr>
        <w:pStyle w:val="Title2"/>
      </w:pPr>
      <w:bookmarkStart w:id="355" w:name="_Toc22383976"/>
      <w:r>
        <w:lastRenderedPageBreak/>
        <w:t>Works Cited</w:t>
      </w:r>
      <w:bookmarkEnd w:id="355"/>
    </w:p>
    <w:p w14:paraId="275326C0" w14:textId="77777777" w:rsidR="00A21917" w:rsidRDefault="00401039">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A21917" w:rsidRPr="0088263F">
        <w:rPr>
          <w:noProof/>
        </w:rPr>
        <w:t>The Environmental Encyclopedia</w:t>
      </w:r>
      <w:r w:rsidR="00A21917">
        <w:rPr>
          <w:noProof/>
        </w:rPr>
        <w:t xml:space="preserve">, </w:t>
      </w:r>
      <w:r w:rsidR="00A21917" w:rsidRPr="0088263F">
        <w:rPr>
          <w:noProof/>
        </w:rPr>
        <w:t>2003</w:t>
      </w:r>
      <w:r w:rsidR="00A21917" w:rsidRPr="0088263F">
        <w:rPr>
          <w:iCs/>
          <w:noProof/>
        </w:rPr>
        <w:t xml:space="preserve"> “Energy Policy” </w:t>
      </w:r>
      <w:r w:rsidR="00A21917" w:rsidRPr="0088263F">
        <w:rPr>
          <w:iCs/>
          <w:noProof/>
          <w:color w:val="7F7F7F"/>
          <w:u w:val="dotted" w:color="7F7F7F"/>
          <w:lang w:eastAsia="fr-FR"/>
        </w:rPr>
        <w:t>https://www.encyclopedia.com/environment/encyclopedias-almanacs-transcripts-and-maps/energy-policy</w:t>
      </w:r>
    </w:p>
    <w:p w14:paraId="3C024E7F"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 xml:space="preserve">Kimberly Amadeo 2019 </w:t>
      </w:r>
      <w:r>
        <w:rPr>
          <w:noProof/>
        </w:rPr>
        <w:t xml:space="preserve">(president of WorldMoneyWatch. Has 20 years senior-level corporate experience in economic analysis and business strategy)13 June 2019 “Strategic Petroleum Reserve” </w:t>
      </w:r>
      <w:r w:rsidRPr="0088263F">
        <w:rPr>
          <w:noProof/>
          <w:color w:val="7F7F7F"/>
          <w:u w:val="dotted" w:color="7F7F7F"/>
        </w:rPr>
        <w:t>https://www.thebalance.com/strategic-petroleum-reserve-3306208</w:t>
      </w:r>
    </w:p>
    <w:p w14:paraId="3F8A2133"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Catherine Ngai 2019</w:t>
      </w:r>
      <w:r>
        <w:rPr>
          <w:noProof/>
        </w:rPr>
        <w:t xml:space="preserve"> (Energy markets reporter at Bloomberg) 15 April 2019 “Contaminated Oil Linked to U.S. Reserves Raises Safety Concerns” </w:t>
      </w:r>
      <w:r w:rsidRPr="0088263F">
        <w:rPr>
          <w:noProof/>
          <w:color w:val="7F7F7F"/>
          <w:u w:val="dotted" w:color="7F7F7F"/>
        </w:rPr>
        <w:t>https://www.insurancejournal.com/news/national/2019/04/15/523778.html</w:t>
      </w:r>
    </w:p>
    <w:p w14:paraId="31286ACF"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 xml:space="preserve">David Grossman 2018 </w:t>
      </w:r>
      <w:r>
        <w:rPr>
          <w:noProof/>
        </w:rPr>
        <w:t xml:space="preserve">(staff writer for PopularMechanics.com) 29 March 2018“The US Sold Contaminated Crude Oil From Its Strategic Reserve—Report” </w:t>
      </w:r>
      <w:r w:rsidRPr="0088263F">
        <w:rPr>
          <w:noProof/>
          <w:u w:val="dotted" w:color="7F7F7F"/>
        </w:rPr>
        <w:t>https://www.popularmechanics.com/technology/infrastructure/a19634690/us-poisoned-crude-oil/</w:t>
      </w:r>
    </w:p>
    <w:p w14:paraId="76965366"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 xml:space="preserve">Catherine Ngai 2018 </w:t>
      </w:r>
      <w:r>
        <w:rPr>
          <w:noProof/>
        </w:rPr>
        <w:t xml:space="preserve">(Energy markets reporter at Bloomberg; former energy markets reporter and Reuters) 29 March 2018 “Exclusive: Firms complain of contaminated crude from U.S. reserve” </w:t>
      </w:r>
      <w:r w:rsidRPr="0088263F">
        <w:rPr>
          <w:noProof/>
          <w:u w:val="dotted" w:color="7F7F7F"/>
        </w:rPr>
        <w:t>https://www.reuters.com/article/us-usa-oil-contamination-exclusive/exclusive-firms-complain-of-contaminated-crude-from-u-s-reserve-idUSKBN1H50GI</w:t>
      </w:r>
    </w:p>
    <w:p w14:paraId="000A65D9"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Steve Chapman 2017</w:t>
      </w:r>
      <w:r>
        <w:rPr>
          <w:noProof/>
        </w:rPr>
        <w:t xml:space="preserve"> (columnist and editorial writer for the Chicago Tribune) 26 May 2017 “Why selling off the oil reserve is a good idea” </w:t>
      </w:r>
      <w:r w:rsidRPr="0088263F">
        <w:rPr>
          <w:noProof/>
          <w:color w:val="7F7F7F"/>
          <w:u w:val="dotted" w:color="7F7F7F"/>
        </w:rPr>
        <w:t>https://www.chicagotribune.com/columns/steve-chapman/ct-strategic-petroleum-reserve-oil-chapman-perspec-0528-md-20170526-column.html</w:t>
      </w:r>
    </w:p>
    <w:p w14:paraId="3DE9EBE5"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Lawrence Haar 2019</w:t>
      </w:r>
      <w:r>
        <w:rPr>
          <w:noProof/>
        </w:rPr>
        <w:t xml:space="preserve"> (senior lecturer in banking and finance at Oxford Brookes University, Oxford, England) “Good Money after Bad?” Fall 2019 REGULATION </w:t>
      </w:r>
      <w:r w:rsidRPr="0088263F">
        <w:rPr>
          <w:noProof/>
          <w:color w:val="7F7F7F"/>
          <w:u w:val="dotted" w:color="7F7F7F"/>
        </w:rPr>
        <w:t>https://www.cato.org/sites/cato.org/files/2019-09/regulation-v42n3-3.pdf</w:t>
      </w:r>
    </w:p>
    <w:p w14:paraId="520B7E57"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 xml:space="preserve">Loren Steff, 2015 </w:t>
      </w:r>
      <w:r>
        <w:rPr>
          <w:noProof/>
        </w:rPr>
        <w:t xml:space="preserve">(senior writer for 30 Point Strategies, author of two books on oil markets) 18 March 2015 “Why the Strategic Petroleum Reserve Has Outlived Its Usefulness” </w:t>
      </w:r>
      <w:r w:rsidRPr="0088263F">
        <w:rPr>
          <w:noProof/>
          <w:color w:val="7F7F7F"/>
          <w:u w:val="dotted" w:color="7F7F7F"/>
        </w:rPr>
        <w:t>https://www.forbes.com/sites/lorensteffy/2015/03/18/why-the-strategic-petroleum-reserve-has-outlived-its-usefulness/#273c9a513469</w:t>
      </w:r>
    </w:p>
    <w:p w14:paraId="1DFABAC1"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Nicolas Loris, 2015</w:t>
      </w:r>
      <w:r>
        <w:rPr>
          <w:noProof/>
        </w:rPr>
        <w:t xml:space="preserve">, (Deputy Director of the Thomas A. Roe Institute for Economic Policy Studies and Herbert and Joyce Morgan fellow at The Heritage Foundation. has testified before House and Senate committees) 20 August 2015 “Why Congress Should Pull the Plug on the Strategic Petroleum Reserve” </w:t>
      </w:r>
      <w:r w:rsidRPr="0088263F">
        <w:rPr>
          <w:noProof/>
          <w:color w:val="7F7F7F"/>
          <w:u w:val="dotted" w:color="7F7F7F"/>
        </w:rPr>
        <w:t>https://www.heritage.org/environment/report/why-congress-should-pull-the-plug-the-strategic-petroleum-reserve</w:t>
      </w:r>
    </w:p>
    <w:p w14:paraId="3B45F9AB"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CNBC 2018.</w:t>
      </w:r>
      <w:r>
        <w:rPr>
          <w:noProof/>
        </w:rPr>
        <w:t xml:space="preserve"> “What happens if Trump taps the Strategic Petroleum Reserve” 25 July 2018 </w:t>
      </w:r>
      <w:r w:rsidRPr="0088263F">
        <w:rPr>
          <w:noProof/>
          <w:color w:val="7F7F7F"/>
          <w:u w:val="dotted" w:color="7F7F7F"/>
        </w:rPr>
        <w:t>https://www.cnbc.com/2018/07/24/what-happens-if-president-trump-taps-the-strategic-petroleum-reserve.html</w:t>
      </w:r>
    </w:p>
    <w:p w14:paraId="32ED980F"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 xml:space="preserve">David Grossman 2018 </w:t>
      </w:r>
      <w:r>
        <w:rPr>
          <w:noProof/>
        </w:rPr>
        <w:t xml:space="preserve">(staff writer for PopularMechanics.com) 29 March 2018“The US Sold Contaminated Crude Oil From Its Strategic Reserve—Report” </w:t>
      </w:r>
      <w:r w:rsidRPr="0088263F">
        <w:rPr>
          <w:noProof/>
          <w:color w:val="7F7F7F"/>
          <w:u w:val="dotted" w:color="7F7F7F"/>
        </w:rPr>
        <w:t>https://www.popularmechanics.com/technology/infrastructure/a19634690/us-poisoned-crude-oil/</w:t>
      </w:r>
    </w:p>
    <w:p w14:paraId="7A1CE06A"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lastRenderedPageBreak/>
        <w:t xml:space="preserve">TSVETANA PARASKOVA 2019 </w:t>
      </w:r>
      <w:r>
        <w:rPr>
          <w:noProof/>
        </w:rPr>
        <w:t xml:space="preserve">(a writer for Oilprice.com with over a decade of experience writing for news outlets) 12 April 2019 “Exxon Complains Of Toxic U.S. Govt Crude Oil” </w:t>
      </w:r>
      <w:r w:rsidRPr="0088263F">
        <w:rPr>
          <w:noProof/>
          <w:color w:val="7F7F7F"/>
          <w:u w:val="dotted" w:color="7F7F7F"/>
        </w:rPr>
        <w:t>https://oilprice.com/Latest-Energy-News/World-News/Exxon-Complains-Of-Toxic-US-Govt-Crude-Oil.html</w:t>
      </w:r>
    </w:p>
    <w:p w14:paraId="502D5BB3"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Christine Harbin 2012 (</w:t>
      </w:r>
      <w:r>
        <w:rPr>
          <w:noProof/>
        </w:rPr>
        <w:t xml:space="preserve">Senior Advisor for External Affairs for the Office of Electricity and the Office of Cybersecurity, Energy Security and Emergency Response at the U.S. Department of Energy; She has also held policy roles at the American Legislative Exchange Council; the Show-Me Institute, a Missouri-based think tank; and the White House National Economic Council) 6 February 2012 “Government Should Not Regulate the Free Market” </w:t>
      </w:r>
      <w:r w:rsidRPr="0088263F">
        <w:rPr>
          <w:noProof/>
          <w:color w:val="7F7F7F"/>
          <w:u w:val="dotted" w:color="7F7F7F"/>
        </w:rPr>
        <w:t>https://www.mic.com/articles/3922/government-should-not-regulate-the-free-market</w:t>
      </w:r>
    </w:p>
    <w:p w14:paraId="7723C84D"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 xml:space="preserve">James Osborne 2016 </w:t>
      </w:r>
      <w:r>
        <w:rPr>
          <w:noProof/>
        </w:rPr>
        <w:t xml:space="preserve">(covers the intersection of energy and politics for the Houston Chronicle) 9 September 2016 “Is the Strategic Petroleum Reserve worth the cost?” </w:t>
      </w:r>
      <w:r w:rsidRPr="0088263F">
        <w:rPr>
          <w:noProof/>
          <w:color w:val="7F7F7F"/>
          <w:u w:val="dotted" w:color="7F7F7F"/>
        </w:rPr>
        <w:t>https://www.houstonchronicle.com/business/article/Is-the-Strategic-Petroleum-Reserve-worth-the-cost-9214328.php</w:t>
      </w:r>
    </w:p>
    <w:p w14:paraId="689B4C12"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Sen. Rob Portman 2011</w:t>
      </w:r>
      <w:r>
        <w:rPr>
          <w:noProof/>
        </w:rPr>
        <w:t xml:space="preserve"> (US senator from Ohio) 24 June 2011 “Portman: Releasing Oil from SPR is Political, Not a Long-Term Energy Solution” </w:t>
      </w:r>
      <w:r w:rsidRPr="0088263F">
        <w:rPr>
          <w:noProof/>
          <w:color w:val="7F7F7F"/>
          <w:u w:val="dotted" w:color="7F7F7F"/>
        </w:rPr>
        <w:t>https://www.portman.senate.gov/newsroom/press-releases/portman-releasing-oil-spr-political-not-long-term-energy-solution</w:t>
      </w:r>
    </w:p>
    <w:p w14:paraId="0C85AEF2"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 xml:space="preserve">Loren Steff, 2015 </w:t>
      </w:r>
      <w:r>
        <w:rPr>
          <w:noProof/>
        </w:rPr>
        <w:t xml:space="preserve">(senior writer for 30 Point Strategies, author of two books on oil markets) 18 March 2015 “Why the Strategic Petroleum Reserve Has Outlived Its Usefulness” </w:t>
      </w:r>
      <w:r w:rsidRPr="0088263F">
        <w:rPr>
          <w:noProof/>
          <w:color w:val="7F7F7F"/>
          <w:u w:val="dotted" w:color="7F7F7F"/>
        </w:rPr>
        <w:t>https://www.forbes.com/sites/lorensteffy/2015/03/18/why-the-strategic-petroleum-reserve-has-outlived-its-usefulness/#273c9a513469</w:t>
      </w:r>
    </w:p>
    <w:p w14:paraId="7F9536D4"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Amy Jaffe 2012 </w:t>
      </w:r>
      <w:r>
        <w:rPr>
          <w:noProof/>
        </w:rPr>
        <w:t xml:space="preserve">(Director of the program on Energy Security and Climate Change and David M. Rubenstein senior fellow for energy at the Council on Foreign Relations) 24 August 2012 "America’s Real Strategic Petroleum Reserve" </w:t>
      </w:r>
      <w:r w:rsidRPr="0088263F">
        <w:rPr>
          <w:noProof/>
          <w:color w:val="7F7F7F"/>
          <w:u w:val="dotted" w:color="7F7F7F"/>
        </w:rPr>
        <w:t>https://foreignpolicy.com/2012/08/24/americas-real-strategic-petroleum-reserve/</w:t>
      </w:r>
    </w:p>
    <w:p w14:paraId="1888B81B"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 xml:space="preserve">Jeffrey A. Tucker 2015 </w:t>
      </w:r>
      <w:r>
        <w:rPr>
          <w:noProof/>
        </w:rPr>
        <w:t>(former Director of Content for the Foundation for Economic Education. He is the Editorial Director at the American Institute for Economic Research, the founder of Liberty.me, Distinguished Honorary Member of Mises Brazil, research fellow at the Acton Institute, policy adviser of the Heartland Institute, founder of the CryptoCurrency Conference, and author of five books) 19 March 2015 “Oil Boom and Government Glut”</w:t>
      </w:r>
      <w:r w:rsidRPr="0088263F">
        <w:rPr>
          <w:noProof/>
        </w:rPr>
        <w:t xml:space="preserve"> </w:t>
      </w:r>
      <w:r w:rsidRPr="0088263F">
        <w:rPr>
          <w:noProof/>
          <w:color w:val="7F7F7F"/>
          <w:u w:val="dotted" w:color="7F7F7F"/>
        </w:rPr>
        <w:t>https://fee.org/articles/oil-boom-and-government-glut/</w:t>
      </w:r>
    </w:p>
    <w:p w14:paraId="681958CB"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 xml:space="preserve">Jeff Colgan 2013 </w:t>
      </w:r>
      <w:r>
        <w:rPr>
          <w:noProof/>
        </w:rPr>
        <w:t xml:space="preserve">(PhD. Professor of Political Science, Watson Institute for Public and International Affairs at Brown Univ)March 2013 “The Emperor Has No Clothes: The Limits of OPEC in the Global Oil Market” </w:t>
      </w:r>
      <w:r w:rsidRPr="0088263F">
        <w:rPr>
          <w:noProof/>
          <w:color w:val="7F7F7F"/>
          <w:u w:val="dotted" w:color="7F7F7F"/>
        </w:rPr>
        <w:t>https://www.ourenergypolicy.org/wp-content/uploads/2013/08/OPEC-Colgan.2013Mar.Copyedit-IO.pdf</w:t>
      </w:r>
    </w:p>
    <w:p w14:paraId="01E5DEED"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Priyanka N</w:t>
      </w:r>
      <w:bookmarkStart w:id="356" w:name="_GoBack"/>
      <w:bookmarkEnd w:id="356"/>
      <w:r w:rsidRPr="0088263F">
        <w:rPr>
          <w:noProof/>
        </w:rPr>
        <w:t xml:space="preserve">arayan 2018 </w:t>
      </w:r>
      <w:r>
        <w:rPr>
          <w:noProof/>
        </w:rPr>
        <w:t xml:space="preserve">(Journalist) 25 July 2018 “What happens if Trump taps the Strategic Petroleum Reserve” </w:t>
      </w:r>
      <w:r w:rsidRPr="0088263F">
        <w:rPr>
          <w:noProof/>
          <w:color w:val="7F7F7F"/>
          <w:u w:val="dotted" w:color="7F7F7F"/>
        </w:rPr>
        <w:t>https://www.cnbc.com/2018/07/24/what-happens-if-president-trump-taps-the-strategic-petroleum-reserve.html</w:t>
      </w:r>
    </w:p>
    <w:p w14:paraId="058EBAA2"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CNBC 2018</w:t>
      </w:r>
      <w:r>
        <w:rPr>
          <w:noProof/>
        </w:rPr>
        <w:t xml:space="preserve">. “What happens if Trump taps the Strategic Petroleum Reserve” 25 July 2018 </w:t>
      </w:r>
      <w:r w:rsidRPr="0088263F">
        <w:rPr>
          <w:noProof/>
          <w:color w:val="7F7F7F"/>
          <w:u w:val="dotted" w:color="7F7F7F"/>
        </w:rPr>
        <w:t>https://www.cnbc.com/2018/07/24/what-happens-if-president-trump-taps-the-strategic-petroleum-reserve.html</w:t>
      </w:r>
    </w:p>
    <w:p w14:paraId="4F9A8D3A"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JASON BORDOFF, ANTOINE HALFF AND AKOS LOSZ 2018</w:t>
      </w:r>
      <w:r>
        <w:rPr>
          <w:noProof/>
        </w:rPr>
        <w:t xml:space="preserve"> (Bordof - former senior director on the staff of the National Security Council and special assistant to President Obama; founding director of the Center on Global Energy Policy at Columbia Univ. Halff is a Senior Research Scholar and Director for Global Oil Markets at the Center on Global Energy Policy, Columbia Univ.; previously served as chief oil analyst of the International Energy Agency. Formerly lead industry economist at the US Energy Information Administration. </w:t>
      </w:r>
      <w:r>
        <w:rPr>
          <w:noProof/>
        </w:rPr>
        <w:lastRenderedPageBreak/>
        <w:t xml:space="preserve">Losz is a senior research associate for the Center on Global Energy Policy) May 2018 “NEW REALITIES, NEW RISKS: RETHINKING THE STRATEGIC PETROLEUM RESERVE” </w:t>
      </w:r>
      <w:r w:rsidRPr="0088263F">
        <w:rPr>
          <w:noProof/>
          <w:color w:val="7F7F7F"/>
          <w:u w:val="dotted" w:color="7F7F7F"/>
        </w:rPr>
        <w:t>https://energypolicy.columbia.edu/research/report/new-realities-new-risks-rethinking-strategic-petroleum-reserve</w:t>
      </w:r>
    </w:p>
    <w:p w14:paraId="7728C2A2" w14:textId="77777777" w:rsidR="00A21917" w:rsidRDefault="00A21917">
      <w:pPr>
        <w:pStyle w:val="TOC4"/>
        <w:tabs>
          <w:tab w:val="right" w:leader="dot" w:pos="9350"/>
        </w:tabs>
        <w:rPr>
          <w:rFonts w:asciiTheme="minorHAnsi" w:eastAsiaTheme="minorEastAsia" w:hAnsiTheme="minorHAnsi" w:cstheme="minorBidi"/>
          <w:noProof/>
          <w:sz w:val="24"/>
          <w:szCs w:val="24"/>
          <w:u w:val="none"/>
        </w:rPr>
      </w:pPr>
      <w:r w:rsidRPr="0088263F">
        <w:rPr>
          <w:noProof/>
        </w:rPr>
        <w:t xml:space="preserve">Jerry Taylor 2000 </w:t>
      </w:r>
      <w:r>
        <w:rPr>
          <w:noProof/>
        </w:rPr>
        <w:t>(president of the Niskanen Center; has served on several congressional advisory bodies and has testified frequently on Capitol Hill regarding various energy and environmental policy matters.</w:t>
      </w:r>
      <w:r w:rsidRPr="0088263F">
        <w:rPr>
          <w:rFonts w:ascii="Georgia" w:hAnsi="Georgia"/>
          <w:noProof/>
          <w:color w:val="222222"/>
          <w:shd w:val="clear" w:color="auto" w:fill="FFFFFF"/>
        </w:rPr>
        <w:t xml:space="preserve"> </w:t>
      </w:r>
      <w:r>
        <w:rPr>
          <w:noProof/>
        </w:rPr>
        <w:t xml:space="preserve">Taylor is a member of the International Association for Energy Economics; former </w:t>
      </w:r>
      <w:r w:rsidRPr="0088263F">
        <w:rPr>
          <w:iCs/>
          <w:noProof/>
        </w:rPr>
        <w:t>Director of Natural Resource Studies at the Cato Institute</w:t>
      </w:r>
      <w:r>
        <w:rPr>
          <w:noProof/>
        </w:rPr>
        <w:t xml:space="preserve">) 26 Sept 2000 “Drain the strategic petroleum reserve” </w:t>
      </w:r>
      <w:r w:rsidRPr="0088263F">
        <w:rPr>
          <w:noProof/>
          <w:color w:val="7F7F7F"/>
          <w:u w:val="dotted" w:color="7F7F7F"/>
        </w:rPr>
        <w:t>https://www.cato.org/publications/commentary/drain-strategic-petroleum-reserve</w:t>
      </w:r>
    </w:p>
    <w:p w14:paraId="37D888D6" w14:textId="0B53C256" w:rsidR="00EA565D" w:rsidRPr="00D922B2" w:rsidRDefault="00401039" w:rsidP="00F07344">
      <w:pPr>
        <w:pStyle w:val="TOC4"/>
        <w:numPr>
          <w:ilvl w:val="0"/>
          <w:numId w:val="0"/>
        </w:numPr>
        <w:tabs>
          <w:tab w:val="right" w:leader="dot" w:pos="9350"/>
        </w:tabs>
      </w:pPr>
      <w:r>
        <w:fldChar w:fldCharType="end"/>
      </w:r>
    </w:p>
    <w:sectPr w:rsidR="00EA565D" w:rsidRPr="00D922B2" w:rsidSect="00F04C23">
      <w:headerReference w:type="even" r:id="rId57"/>
      <w:headerReference w:type="default" r:id="rId58"/>
      <w:footerReference w:type="even" r:id="rId59"/>
      <w:footerReference w:type="default" r:id="rId60"/>
      <w:headerReference w:type="first" r:id="rId61"/>
      <w:footerReference w:type="first" r:id="rId6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67053" w14:textId="77777777" w:rsidR="004A30A6" w:rsidRDefault="004A30A6" w:rsidP="001D5FD6">
      <w:pPr>
        <w:spacing w:after="0" w:line="240" w:lineRule="auto"/>
      </w:pPr>
      <w:r>
        <w:separator/>
      </w:r>
    </w:p>
    <w:p w14:paraId="4E900202" w14:textId="77777777" w:rsidR="004A30A6" w:rsidRDefault="004A30A6"/>
    <w:p w14:paraId="05A9E91C" w14:textId="77777777" w:rsidR="004A30A6" w:rsidRDefault="004A30A6"/>
  </w:endnote>
  <w:endnote w:type="continuationSeparator" w:id="0">
    <w:p w14:paraId="2F8B1342" w14:textId="77777777" w:rsidR="004A30A6" w:rsidRDefault="004A30A6" w:rsidP="001D5FD6">
      <w:pPr>
        <w:spacing w:after="0" w:line="240" w:lineRule="auto"/>
      </w:pPr>
      <w:r>
        <w:continuationSeparator/>
      </w:r>
    </w:p>
    <w:p w14:paraId="056E9D8D" w14:textId="77777777" w:rsidR="004A30A6" w:rsidRDefault="004A30A6"/>
    <w:p w14:paraId="7F9EE424" w14:textId="77777777" w:rsidR="004A30A6" w:rsidRDefault="004A30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B22E9" w14:textId="77777777" w:rsidR="00723C19" w:rsidRDefault="00723C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2BA37627" w:rsidR="00723C19" w:rsidRDefault="00723C19"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Pr>
        <w:noProof/>
        <w:sz w:val="24"/>
        <w:szCs w:val="24"/>
      </w:rPr>
      <w:t>3</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Pr>
        <w:noProof/>
        <w:sz w:val="24"/>
        <w:szCs w:val="24"/>
      </w:rPr>
      <w:t>22</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723C19" w:rsidRDefault="00723C19"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723C19" w:rsidRPr="00303BC4" w:rsidRDefault="00723C19"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8B418" w14:textId="77777777" w:rsidR="00723C19" w:rsidRDefault="00723C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D7A06" w14:textId="77777777" w:rsidR="004A30A6" w:rsidRDefault="004A30A6" w:rsidP="001D5FD6">
      <w:pPr>
        <w:spacing w:after="0" w:line="240" w:lineRule="auto"/>
      </w:pPr>
      <w:r>
        <w:separator/>
      </w:r>
    </w:p>
    <w:p w14:paraId="522EEAE8" w14:textId="77777777" w:rsidR="004A30A6" w:rsidRDefault="004A30A6"/>
    <w:p w14:paraId="6CF69EFE" w14:textId="77777777" w:rsidR="004A30A6" w:rsidRDefault="004A30A6"/>
  </w:footnote>
  <w:footnote w:type="continuationSeparator" w:id="0">
    <w:p w14:paraId="13AFF3EF" w14:textId="77777777" w:rsidR="004A30A6" w:rsidRDefault="004A30A6" w:rsidP="001D5FD6">
      <w:pPr>
        <w:spacing w:after="0" w:line="240" w:lineRule="auto"/>
      </w:pPr>
      <w:r>
        <w:continuationSeparator/>
      </w:r>
    </w:p>
    <w:p w14:paraId="602DC108" w14:textId="77777777" w:rsidR="004A30A6" w:rsidRDefault="004A30A6"/>
    <w:p w14:paraId="56534C5C" w14:textId="77777777" w:rsidR="004A30A6" w:rsidRDefault="004A30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07ACA" w14:textId="77777777" w:rsidR="00723C19" w:rsidRDefault="00723C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4CA15448" w:rsidR="00723C19" w:rsidRDefault="00723C19" w:rsidP="00934A35">
    <w:pPr>
      <w:pStyle w:val="Footer"/>
    </w:pPr>
    <w:r>
      <w:t>Affirmative: Abolish the Strategic Petroleum Reserve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5A3DA" w14:textId="77777777" w:rsidR="00723C19" w:rsidRDefault="00723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503FB0"/>
    <w:multiLevelType w:val="hybridMultilevel"/>
    <w:tmpl w:val="AD1CB4E8"/>
    <w:lvl w:ilvl="0" w:tplc="50E246BA">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5"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7"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906338F"/>
    <w:multiLevelType w:val="multilevel"/>
    <w:tmpl w:val="858CD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767E96"/>
    <w:multiLevelType w:val="hybridMultilevel"/>
    <w:tmpl w:val="3D8A2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9033C6"/>
    <w:multiLevelType w:val="hybridMultilevel"/>
    <w:tmpl w:val="6B8C4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3"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4"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20258A"/>
    <w:multiLevelType w:val="hybridMultilevel"/>
    <w:tmpl w:val="3D8A2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392863"/>
    <w:multiLevelType w:val="hybridMultilevel"/>
    <w:tmpl w:val="593246E8"/>
    <w:lvl w:ilvl="0" w:tplc="87100A16">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7"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9"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2647B3"/>
    <w:multiLevelType w:val="hybridMultilevel"/>
    <w:tmpl w:val="AE20A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2135E6"/>
    <w:multiLevelType w:val="hybridMultilevel"/>
    <w:tmpl w:val="AE20A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4E00EF"/>
    <w:multiLevelType w:val="hybridMultilevel"/>
    <w:tmpl w:val="2FC88878"/>
    <w:lvl w:ilvl="0" w:tplc="481E2AA4">
      <w:start w:val="1"/>
      <w:numFmt w:val="decimal"/>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5"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6" w15:restartNumberingAfterBreak="0">
    <w:nsid w:val="595C5D9B"/>
    <w:multiLevelType w:val="hybridMultilevel"/>
    <w:tmpl w:val="170A4D44"/>
    <w:lvl w:ilvl="0" w:tplc="A19086AC">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373078"/>
    <w:multiLevelType w:val="hybridMultilevel"/>
    <w:tmpl w:val="E1482B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8779F3"/>
    <w:multiLevelType w:val="hybridMultilevel"/>
    <w:tmpl w:val="25CA3EE6"/>
    <w:lvl w:ilvl="0" w:tplc="0C7A0AAE">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43"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4"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39"/>
  </w:num>
  <w:num w:numId="3">
    <w:abstractNumId w:val="15"/>
  </w:num>
  <w:num w:numId="4">
    <w:abstractNumId w:val="22"/>
  </w:num>
  <w:num w:numId="5">
    <w:abstractNumId w:val="44"/>
  </w:num>
  <w:num w:numId="6">
    <w:abstractNumId w:val="17"/>
  </w:num>
  <w:num w:numId="7">
    <w:abstractNumId w:val="45"/>
  </w:num>
  <w:num w:numId="8">
    <w:abstractNumId w:val="4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43"/>
  </w:num>
  <w:num w:numId="20">
    <w:abstractNumId w:val="35"/>
  </w:num>
  <w:num w:numId="21">
    <w:abstractNumId w:val="19"/>
  </w:num>
  <w:num w:numId="22">
    <w:abstractNumId w:val="12"/>
  </w:num>
  <w:num w:numId="23">
    <w:abstractNumId w:val="16"/>
  </w:num>
  <w:num w:numId="24">
    <w:abstractNumId w:val="13"/>
  </w:num>
  <w:num w:numId="25">
    <w:abstractNumId w:val="0"/>
  </w:num>
  <w:num w:numId="26">
    <w:abstractNumId w:val="29"/>
  </w:num>
  <w:num w:numId="27">
    <w:abstractNumId w:val="27"/>
  </w:num>
  <w:num w:numId="28">
    <w:abstractNumId w:val="41"/>
  </w:num>
  <w:num w:numId="29">
    <w:abstractNumId w:val="23"/>
  </w:num>
  <w:num w:numId="30">
    <w:abstractNumId w:val="28"/>
  </w:num>
  <w:num w:numId="31">
    <w:abstractNumId w:val="14"/>
  </w:num>
  <w:num w:numId="32">
    <w:abstractNumId w:val="37"/>
  </w:num>
  <w:num w:numId="33">
    <w:abstractNumId w:val="46"/>
  </w:num>
  <w:num w:numId="34">
    <w:abstractNumId w:val="33"/>
  </w:num>
  <w:num w:numId="35">
    <w:abstractNumId w:val="24"/>
  </w:num>
  <w:num w:numId="36">
    <w:abstractNumId w:val="32"/>
  </w:num>
  <w:num w:numId="37">
    <w:abstractNumId w:val="11"/>
  </w:num>
  <w:num w:numId="38">
    <w:abstractNumId w:val="26"/>
  </w:num>
  <w:num w:numId="39">
    <w:abstractNumId w:val="31"/>
  </w:num>
  <w:num w:numId="40">
    <w:abstractNumId w:val="38"/>
  </w:num>
  <w:num w:numId="41">
    <w:abstractNumId w:val="42"/>
  </w:num>
  <w:num w:numId="42">
    <w:abstractNumId w:val="36"/>
  </w:num>
  <w:num w:numId="43">
    <w:abstractNumId w:val="20"/>
  </w:num>
  <w:num w:numId="44">
    <w:abstractNumId w:val="21"/>
  </w:num>
  <w:num w:numId="45">
    <w:abstractNumId w:val="34"/>
  </w:num>
  <w:num w:numId="46">
    <w:abstractNumId w:val="25"/>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1AE3"/>
    <w:rsid w:val="00005181"/>
    <w:rsid w:val="00011BF9"/>
    <w:rsid w:val="00017E04"/>
    <w:rsid w:val="00026F23"/>
    <w:rsid w:val="00037367"/>
    <w:rsid w:val="00037C74"/>
    <w:rsid w:val="000519FE"/>
    <w:rsid w:val="00053132"/>
    <w:rsid w:val="000637FA"/>
    <w:rsid w:val="00066507"/>
    <w:rsid w:val="0007056F"/>
    <w:rsid w:val="000815E1"/>
    <w:rsid w:val="0008580D"/>
    <w:rsid w:val="0008674B"/>
    <w:rsid w:val="00090547"/>
    <w:rsid w:val="0009425D"/>
    <w:rsid w:val="000948EB"/>
    <w:rsid w:val="0009716A"/>
    <w:rsid w:val="000A2CDB"/>
    <w:rsid w:val="000B0848"/>
    <w:rsid w:val="000B3CC7"/>
    <w:rsid w:val="000B504C"/>
    <w:rsid w:val="000C0767"/>
    <w:rsid w:val="000C54F8"/>
    <w:rsid w:val="000C7058"/>
    <w:rsid w:val="000D3779"/>
    <w:rsid w:val="000D5C9A"/>
    <w:rsid w:val="000E04AA"/>
    <w:rsid w:val="000E0BC5"/>
    <w:rsid w:val="000E63C4"/>
    <w:rsid w:val="000F24E5"/>
    <w:rsid w:val="000F546C"/>
    <w:rsid w:val="000F5B0E"/>
    <w:rsid w:val="00105BD1"/>
    <w:rsid w:val="00113973"/>
    <w:rsid w:val="001258E6"/>
    <w:rsid w:val="0013546D"/>
    <w:rsid w:val="001361FB"/>
    <w:rsid w:val="0015488C"/>
    <w:rsid w:val="0017181C"/>
    <w:rsid w:val="00182462"/>
    <w:rsid w:val="00190F49"/>
    <w:rsid w:val="00196952"/>
    <w:rsid w:val="001A55A4"/>
    <w:rsid w:val="001B3BAD"/>
    <w:rsid w:val="001B7F8E"/>
    <w:rsid w:val="001C036D"/>
    <w:rsid w:val="001C27E0"/>
    <w:rsid w:val="001C52C1"/>
    <w:rsid w:val="001D2C8F"/>
    <w:rsid w:val="001D5FD6"/>
    <w:rsid w:val="001D772C"/>
    <w:rsid w:val="001F0ADE"/>
    <w:rsid w:val="001F6768"/>
    <w:rsid w:val="0020276C"/>
    <w:rsid w:val="00202C7B"/>
    <w:rsid w:val="00204A1A"/>
    <w:rsid w:val="00213EE2"/>
    <w:rsid w:val="00227538"/>
    <w:rsid w:val="00236F83"/>
    <w:rsid w:val="002438CB"/>
    <w:rsid w:val="00250144"/>
    <w:rsid w:val="002558C7"/>
    <w:rsid w:val="00265032"/>
    <w:rsid w:val="00265E15"/>
    <w:rsid w:val="00267C1C"/>
    <w:rsid w:val="00270F80"/>
    <w:rsid w:val="00271CB7"/>
    <w:rsid w:val="002732DD"/>
    <w:rsid w:val="002825BD"/>
    <w:rsid w:val="00284528"/>
    <w:rsid w:val="0028462E"/>
    <w:rsid w:val="002847EA"/>
    <w:rsid w:val="00285587"/>
    <w:rsid w:val="00290BD7"/>
    <w:rsid w:val="00296C2E"/>
    <w:rsid w:val="002A018C"/>
    <w:rsid w:val="002A286B"/>
    <w:rsid w:val="002A72DE"/>
    <w:rsid w:val="002B418A"/>
    <w:rsid w:val="002C1829"/>
    <w:rsid w:val="002C20CF"/>
    <w:rsid w:val="002C4542"/>
    <w:rsid w:val="002D1F9C"/>
    <w:rsid w:val="002D2C8E"/>
    <w:rsid w:val="002D6A50"/>
    <w:rsid w:val="002D6DE6"/>
    <w:rsid w:val="002E0230"/>
    <w:rsid w:val="002E7446"/>
    <w:rsid w:val="002E7D31"/>
    <w:rsid w:val="002F0659"/>
    <w:rsid w:val="003003CF"/>
    <w:rsid w:val="003006A4"/>
    <w:rsid w:val="00302B07"/>
    <w:rsid w:val="00303BC4"/>
    <w:rsid w:val="00305472"/>
    <w:rsid w:val="00313DAC"/>
    <w:rsid w:val="003153FF"/>
    <w:rsid w:val="00317749"/>
    <w:rsid w:val="003252AF"/>
    <w:rsid w:val="003276F1"/>
    <w:rsid w:val="00333184"/>
    <w:rsid w:val="003406D7"/>
    <w:rsid w:val="0034420A"/>
    <w:rsid w:val="0034603A"/>
    <w:rsid w:val="00373DA9"/>
    <w:rsid w:val="00380948"/>
    <w:rsid w:val="00384056"/>
    <w:rsid w:val="00391D35"/>
    <w:rsid w:val="0039255A"/>
    <w:rsid w:val="00394FA5"/>
    <w:rsid w:val="00395227"/>
    <w:rsid w:val="003965EC"/>
    <w:rsid w:val="00396B4A"/>
    <w:rsid w:val="003B252C"/>
    <w:rsid w:val="003E478B"/>
    <w:rsid w:val="003E4ED3"/>
    <w:rsid w:val="003E6942"/>
    <w:rsid w:val="003F7D2A"/>
    <w:rsid w:val="00401039"/>
    <w:rsid w:val="00401258"/>
    <w:rsid w:val="00403FEC"/>
    <w:rsid w:val="004051DC"/>
    <w:rsid w:val="004065B6"/>
    <w:rsid w:val="00421CDB"/>
    <w:rsid w:val="0042262F"/>
    <w:rsid w:val="00436AAC"/>
    <w:rsid w:val="00440AEA"/>
    <w:rsid w:val="004442CE"/>
    <w:rsid w:val="00446CC2"/>
    <w:rsid w:val="00454B16"/>
    <w:rsid w:val="004555FD"/>
    <w:rsid w:val="0045767E"/>
    <w:rsid w:val="00457835"/>
    <w:rsid w:val="00461E5E"/>
    <w:rsid w:val="004639D6"/>
    <w:rsid w:val="004724B8"/>
    <w:rsid w:val="004731D9"/>
    <w:rsid w:val="0048566E"/>
    <w:rsid w:val="00495B41"/>
    <w:rsid w:val="0049656E"/>
    <w:rsid w:val="004969CB"/>
    <w:rsid w:val="004969CF"/>
    <w:rsid w:val="004A276D"/>
    <w:rsid w:val="004A30A6"/>
    <w:rsid w:val="004A480E"/>
    <w:rsid w:val="004A5639"/>
    <w:rsid w:val="004C670D"/>
    <w:rsid w:val="004D148E"/>
    <w:rsid w:val="004F011F"/>
    <w:rsid w:val="004F139E"/>
    <w:rsid w:val="00501F49"/>
    <w:rsid w:val="00502AA2"/>
    <w:rsid w:val="005111F7"/>
    <w:rsid w:val="00516B2E"/>
    <w:rsid w:val="00520F71"/>
    <w:rsid w:val="005361B1"/>
    <w:rsid w:val="00553F1B"/>
    <w:rsid w:val="00564523"/>
    <w:rsid w:val="00565C56"/>
    <w:rsid w:val="00572F56"/>
    <w:rsid w:val="00584E4F"/>
    <w:rsid w:val="00593922"/>
    <w:rsid w:val="00594AE7"/>
    <w:rsid w:val="005964AD"/>
    <w:rsid w:val="005A01B9"/>
    <w:rsid w:val="005A0856"/>
    <w:rsid w:val="005B1129"/>
    <w:rsid w:val="005E7FF1"/>
    <w:rsid w:val="005F7901"/>
    <w:rsid w:val="006001BA"/>
    <w:rsid w:val="00616E3B"/>
    <w:rsid w:val="006308D2"/>
    <w:rsid w:val="0063404F"/>
    <w:rsid w:val="006342A9"/>
    <w:rsid w:val="006359AF"/>
    <w:rsid w:val="006454BC"/>
    <w:rsid w:val="00647B08"/>
    <w:rsid w:val="006540DC"/>
    <w:rsid w:val="00660055"/>
    <w:rsid w:val="006629BD"/>
    <w:rsid w:val="006659EA"/>
    <w:rsid w:val="00670AA6"/>
    <w:rsid w:val="00674F77"/>
    <w:rsid w:val="0067571B"/>
    <w:rsid w:val="00676C29"/>
    <w:rsid w:val="00680A38"/>
    <w:rsid w:val="00683499"/>
    <w:rsid w:val="00683A88"/>
    <w:rsid w:val="00697332"/>
    <w:rsid w:val="006A2CBF"/>
    <w:rsid w:val="006A399D"/>
    <w:rsid w:val="006A5945"/>
    <w:rsid w:val="006A5C68"/>
    <w:rsid w:val="006A70E6"/>
    <w:rsid w:val="006B000C"/>
    <w:rsid w:val="006B5C75"/>
    <w:rsid w:val="006B717A"/>
    <w:rsid w:val="006C4265"/>
    <w:rsid w:val="006C457B"/>
    <w:rsid w:val="006C6302"/>
    <w:rsid w:val="006D3F93"/>
    <w:rsid w:val="006E03C9"/>
    <w:rsid w:val="006E6A6C"/>
    <w:rsid w:val="006F5487"/>
    <w:rsid w:val="006F6844"/>
    <w:rsid w:val="00700114"/>
    <w:rsid w:val="007006E3"/>
    <w:rsid w:val="00700C0A"/>
    <w:rsid w:val="0070221F"/>
    <w:rsid w:val="00706A74"/>
    <w:rsid w:val="00707FFD"/>
    <w:rsid w:val="00720189"/>
    <w:rsid w:val="00723C19"/>
    <w:rsid w:val="0072413B"/>
    <w:rsid w:val="007254F4"/>
    <w:rsid w:val="0072778E"/>
    <w:rsid w:val="00732989"/>
    <w:rsid w:val="0073488F"/>
    <w:rsid w:val="00741D29"/>
    <w:rsid w:val="00744919"/>
    <w:rsid w:val="00744B8F"/>
    <w:rsid w:val="00745DC2"/>
    <w:rsid w:val="00746139"/>
    <w:rsid w:val="00746FA6"/>
    <w:rsid w:val="00756E9F"/>
    <w:rsid w:val="007571F3"/>
    <w:rsid w:val="00762EB7"/>
    <w:rsid w:val="00763DA9"/>
    <w:rsid w:val="007679E5"/>
    <w:rsid w:val="00774D66"/>
    <w:rsid w:val="007762F5"/>
    <w:rsid w:val="00780657"/>
    <w:rsid w:val="00787B02"/>
    <w:rsid w:val="007934E6"/>
    <w:rsid w:val="007B39AF"/>
    <w:rsid w:val="007B4BA3"/>
    <w:rsid w:val="007B534A"/>
    <w:rsid w:val="007B6228"/>
    <w:rsid w:val="007B6FA0"/>
    <w:rsid w:val="007C02B3"/>
    <w:rsid w:val="007C74BB"/>
    <w:rsid w:val="007C7916"/>
    <w:rsid w:val="007D0407"/>
    <w:rsid w:val="007D0935"/>
    <w:rsid w:val="007D1B96"/>
    <w:rsid w:val="007D2883"/>
    <w:rsid w:val="007F6B0C"/>
    <w:rsid w:val="008000F6"/>
    <w:rsid w:val="00801E3C"/>
    <w:rsid w:val="0082486E"/>
    <w:rsid w:val="008326DC"/>
    <w:rsid w:val="00844A8B"/>
    <w:rsid w:val="00847706"/>
    <w:rsid w:val="0084778F"/>
    <w:rsid w:val="00857987"/>
    <w:rsid w:val="00862483"/>
    <w:rsid w:val="00866E64"/>
    <w:rsid w:val="00872315"/>
    <w:rsid w:val="00874518"/>
    <w:rsid w:val="00884978"/>
    <w:rsid w:val="00884A95"/>
    <w:rsid w:val="008921A4"/>
    <w:rsid w:val="008921EE"/>
    <w:rsid w:val="00893EB6"/>
    <w:rsid w:val="00895B3E"/>
    <w:rsid w:val="008A5AFA"/>
    <w:rsid w:val="008A5B8F"/>
    <w:rsid w:val="008A7E94"/>
    <w:rsid w:val="008B0EB0"/>
    <w:rsid w:val="008B18E6"/>
    <w:rsid w:val="008B19E3"/>
    <w:rsid w:val="008B4CC1"/>
    <w:rsid w:val="008B5DB7"/>
    <w:rsid w:val="008C47A0"/>
    <w:rsid w:val="008D207C"/>
    <w:rsid w:val="008E1700"/>
    <w:rsid w:val="008E5E01"/>
    <w:rsid w:val="008F07D0"/>
    <w:rsid w:val="008F2444"/>
    <w:rsid w:val="008F2665"/>
    <w:rsid w:val="00905D71"/>
    <w:rsid w:val="00907882"/>
    <w:rsid w:val="00910B4E"/>
    <w:rsid w:val="0092592E"/>
    <w:rsid w:val="00930F26"/>
    <w:rsid w:val="00932C8D"/>
    <w:rsid w:val="0093483A"/>
    <w:rsid w:val="00934A35"/>
    <w:rsid w:val="009379D3"/>
    <w:rsid w:val="00941310"/>
    <w:rsid w:val="00942633"/>
    <w:rsid w:val="00942CD5"/>
    <w:rsid w:val="009446C4"/>
    <w:rsid w:val="00944983"/>
    <w:rsid w:val="0094515D"/>
    <w:rsid w:val="00946BA9"/>
    <w:rsid w:val="00950F5B"/>
    <w:rsid w:val="009541D9"/>
    <w:rsid w:val="0095509D"/>
    <w:rsid w:val="00956E0D"/>
    <w:rsid w:val="0095733B"/>
    <w:rsid w:val="00970D86"/>
    <w:rsid w:val="009A2CF2"/>
    <w:rsid w:val="009B0CC2"/>
    <w:rsid w:val="009C076C"/>
    <w:rsid w:val="009C23FF"/>
    <w:rsid w:val="009F06D9"/>
    <w:rsid w:val="009F3647"/>
    <w:rsid w:val="00A03D2E"/>
    <w:rsid w:val="00A177C3"/>
    <w:rsid w:val="00A20AFF"/>
    <w:rsid w:val="00A21917"/>
    <w:rsid w:val="00A25462"/>
    <w:rsid w:val="00A303F9"/>
    <w:rsid w:val="00A3080B"/>
    <w:rsid w:val="00A31F34"/>
    <w:rsid w:val="00A36994"/>
    <w:rsid w:val="00A43902"/>
    <w:rsid w:val="00A4476F"/>
    <w:rsid w:val="00A52A43"/>
    <w:rsid w:val="00A53707"/>
    <w:rsid w:val="00A56943"/>
    <w:rsid w:val="00A62D6F"/>
    <w:rsid w:val="00A637AA"/>
    <w:rsid w:val="00A645F2"/>
    <w:rsid w:val="00A6757D"/>
    <w:rsid w:val="00A75971"/>
    <w:rsid w:val="00A75E4E"/>
    <w:rsid w:val="00A870D6"/>
    <w:rsid w:val="00A911C9"/>
    <w:rsid w:val="00A946F8"/>
    <w:rsid w:val="00A961A3"/>
    <w:rsid w:val="00AA06CB"/>
    <w:rsid w:val="00AA2A06"/>
    <w:rsid w:val="00AA3CD8"/>
    <w:rsid w:val="00AB1D4D"/>
    <w:rsid w:val="00AB32D6"/>
    <w:rsid w:val="00AB3973"/>
    <w:rsid w:val="00AB7B3E"/>
    <w:rsid w:val="00AC2340"/>
    <w:rsid w:val="00AC443A"/>
    <w:rsid w:val="00AC49B0"/>
    <w:rsid w:val="00AD2212"/>
    <w:rsid w:val="00AD3A26"/>
    <w:rsid w:val="00AE1CE7"/>
    <w:rsid w:val="00AE792C"/>
    <w:rsid w:val="00AF2404"/>
    <w:rsid w:val="00B02578"/>
    <w:rsid w:val="00B02C10"/>
    <w:rsid w:val="00B06B98"/>
    <w:rsid w:val="00B428CA"/>
    <w:rsid w:val="00B441D5"/>
    <w:rsid w:val="00B4500E"/>
    <w:rsid w:val="00B46213"/>
    <w:rsid w:val="00B50052"/>
    <w:rsid w:val="00B51C24"/>
    <w:rsid w:val="00B6434A"/>
    <w:rsid w:val="00B64449"/>
    <w:rsid w:val="00B70CC1"/>
    <w:rsid w:val="00B75AA1"/>
    <w:rsid w:val="00B83537"/>
    <w:rsid w:val="00B839F4"/>
    <w:rsid w:val="00B9421F"/>
    <w:rsid w:val="00BA3609"/>
    <w:rsid w:val="00BB0768"/>
    <w:rsid w:val="00BB17AA"/>
    <w:rsid w:val="00BB1FEA"/>
    <w:rsid w:val="00BB4EBE"/>
    <w:rsid w:val="00BB6F9D"/>
    <w:rsid w:val="00BC1FD0"/>
    <w:rsid w:val="00BD0C18"/>
    <w:rsid w:val="00BE15CE"/>
    <w:rsid w:val="00BF2D91"/>
    <w:rsid w:val="00C01747"/>
    <w:rsid w:val="00C01FF0"/>
    <w:rsid w:val="00C04A45"/>
    <w:rsid w:val="00C22958"/>
    <w:rsid w:val="00C36674"/>
    <w:rsid w:val="00C367C3"/>
    <w:rsid w:val="00C37750"/>
    <w:rsid w:val="00C465A4"/>
    <w:rsid w:val="00C5657A"/>
    <w:rsid w:val="00C56940"/>
    <w:rsid w:val="00C627C4"/>
    <w:rsid w:val="00C76930"/>
    <w:rsid w:val="00C80A3B"/>
    <w:rsid w:val="00C936FD"/>
    <w:rsid w:val="00C955AF"/>
    <w:rsid w:val="00C95D87"/>
    <w:rsid w:val="00CA24B4"/>
    <w:rsid w:val="00CB1171"/>
    <w:rsid w:val="00CB458D"/>
    <w:rsid w:val="00CD0720"/>
    <w:rsid w:val="00CD69CA"/>
    <w:rsid w:val="00CE3F31"/>
    <w:rsid w:val="00CE7401"/>
    <w:rsid w:val="00CF5E42"/>
    <w:rsid w:val="00CF7A7D"/>
    <w:rsid w:val="00D00337"/>
    <w:rsid w:val="00D05A53"/>
    <w:rsid w:val="00D07331"/>
    <w:rsid w:val="00D11CE7"/>
    <w:rsid w:val="00D14B08"/>
    <w:rsid w:val="00D14CD7"/>
    <w:rsid w:val="00D23900"/>
    <w:rsid w:val="00D32D64"/>
    <w:rsid w:val="00D439DF"/>
    <w:rsid w:val="00D462AA"/>
    <w:rsid w:val="00D47FBB"/>
    <w:rsid w:val="00D52C45"/>
    <w:rsid w:val="00D54BD0"/>
    <w:rsid w:val="00D61ACA"/>
    <w:rsid w:val="00D64490"/>
    <w:rsid w:val="00D65417"/>
    <w:rsid w:val="00D669F2"/>
    <w:rsid w:val="00D67FFD"/>
    <w:rsid w:val="00D730AB"/>
    <w:rsid w:val="00D900E8"/>
    <w:rsid w:val="00D922B2"/>
    <w:rsid w:val="00DA2F2D"/>
    <w:rsid w:val="00DA64B0"/>
    <w:rsid w:val="00DB1E89"/>
    <w:rsid w:val="00DB3DDA"/>
    <w:rsid w:val="00DB5B27"/>
    <w:rsid w:val="00DB6570"/>
    <w:rsid w:val="00DB66BD"/>
    <w:rsid w:val="00DB7B94"/>
    <w:rsid w:val="00DC29FF"/>
    <w:rsid w:val="00DC3094"/>
    <w:rsid w:val="00DC382C"/>
    <w:rsid w:val="00DC46E4"/>
    <w:rsid w:val="00DC79A7"/>
    <w:rsid w:val="00DD0FAA"/>
    <w:rsid w:val="00DE0934"/>
    <w:rsid w:val="00DE4778"/>
    <w:rsid w:val="00DE4869"/>
    <w:rsid w:val="00DE6160"/>
    <w:rsid w:val="00E017EE"/>
    <w:rsid w:val="00E351BF"/>
    <w:rsid w:val="00E42C4F"/>
    <w:rsid w:val="00E4330C"/>
    <w:rsid w:val="00E43F78"/>
    <w:rsid w:val="00E470E0"/>
    <w:rsid w:val="00E47DDB"/>
    <w:rsid w:val="00E52C0E"/>
    <w:rsid w:val="00E55B5F"/>
    <w:rsid w:val="00E6412D"/>
    <w:rsid w:val="00E6481C"/>
    <w:rsid w:val="00E6588E"/>
    <w:rsid w:val="00E65DFE"/>
    <w:rsid w:val="00E661F9"/>
    <w:rsid w:val="00E71428"/>
    <w:rsid w:val="00E7259A"/>
    <w:rsid w:val="00E7494E"/>
    <w:rsid w:val="00E81062"/>
    <w:rsid w:val="00E81D52"/>
    <w:rsid w:val="00E84804"/>
    <w:rsid w:val="00E946DF"/>
    <w:rsid w:val="00EA1B44"/>
    <w:rsid w:val="00EA565D"/>
    <w:rsid w:val="00EB13DB"/>
    <w:rsid w:val="00EC21D1"/>
    <w:rsid w:val="00ED1364"/>
    <w:rsid w:val="00ED482B"/>
    <w:rsid w:val="00EE1E8E"/>
    <w:rsid w:val="00EE37F5"/>
    <w:rsid w:val="00EE3E2F"/>
    <w:rsid w:val="00F02239"/>
    <w:rsid w:val="00F04C23"/>
    <w:rsid w:val="00F07344"/>
    <w:rsid w:val="00F07F3F"/>
    <w:rsid w:val="00F10343"/>
    <w:rsid w:val="00F133B4"/>
    <w:rsid w:val="00F17A3A"/>
    <w:rsid w:val="00F2448E"/>
    <w:rsid w:val="00F32431"/>
    <w:rsid w:val="00F36B38"/>
    <w:rsid w:val="00F40A83"/>
    <w:rsid w:val="00F43E2B"/>
    <w:rsid w:val="00F44E6A"/>
    <w:rsid w:val="00F46719"/>
    <w:rsid w:val="00F46F9F"/>
    <w:rsid w:val="00F472CF"/>
    <w:rsid w:val="00F475C5"/>
    <w:rsid w:val="00F55129"/>
    <w:rsid w:val="00F60940"/>
    <w:rsid w:val="00F60D98"/>
    <w:rsid w:val="00F622BD"/>
    <w:rsid w:val="00F62473"/>
    <w:rsid w:val="00F64647"/>
    <w:rsid w:val="00F727B6"/>
    <w:rsid w:val="00F76F67"/>
    <w:rsid w:val="00F7723E"/>
    <w:rsid w:val="00F83ED9"/>
    <w:rsid w:val="00F85CE3"/>
    <w:rsid w:val="00F933C4"/>
    <w:rsid w:val="00FA1BAE"/>
    <w:rsid w:val="00FA41B5"/>
    <w:rsid w:val="00FB0D2B"/>
    <w:rsid w:val="00FC35BA"/>
    <w:rsid w:val="00FC5429"/>
    <w:rsid w:val="00FC6B5A"/>
    <w:rsid w:val="00FC7015"/>
    <w:rsid w:val="00FC74DB"/>
    <w:rsid w:val="00FD47AA"/>
    <w:rsid w:val="00FD5160"/>
    <w:rsid w:val="00FD77E9"/>
    <w:rsid w:val="00FE297A"/>
    <w:rsid w:val="00FF704C"/>
    <w:rsid w:val="00FF742A"/>
    <w:rsid w:val="00FF7E2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1DA6556E-14B7-4275-B336-8122C5E68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0"/>
    <w:lsdException w:name="heading 3" w:uiPriority="0"/>
    <w:lsdException w:name="heading 4" w:uiPriority="0"/>
    <w:lsdException w:name="heading 5" w:uiPriority="0"/>
    <w:lsdException w:name="heading 6" w:uiPriority="0"/>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6F6844"/>
  </w:style>
  <w:style w:type="character" w:customStyle="1" w:styleId="EvidenceChar">
    <w:name w:val="Evidence Char"/>
    <w:link w:val="Evidence"/>
    <w:locked/>
    <w:rsid w:val="00B64449"/>
    <w:rPr>
      <w:rFonts w:ascii="Times New Roman" w:eastAsia="Times New Roman" w:hAnsi="Times New Roman"/>
      <w:bCs/>
      <w:color w:val="000000"/>
      <w:lang w:eastAsia="fr-FR"/>
    </w:rPr>
  </w:style>
  <w:style w:type="character" w:customStyle="1" w:styleId="balancedheadline">
    <w:name w:val="balancedheadline"/>
    <w:basedOn w:val="DefaultParagraphFont"/>
    <w:rsid w:val="00384056"/>
  </w:style>
  <w:style w:type="character" w:styleId="UnresolvedMention">
    <w:name w:val="Unresolved Mention"/>
    <w:basedOn w:val="DefaultParagraphFont"/>
    <w:uiPriority w:val="99"/>
    <w:semiHidden/>
    <w:unhideWhenUsed/>
    <w:rsid w:val="00723C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0931">
      <w:bodyDiv w:val="1"/>
      <w:marLeft w:val="0"/>
      <w:marRight w:val="0"/>
      <w:marTop w:val="0"/>
      <w:marBottom w:val="0"/>
      <w:divBdr>
        <w:top w:val="none" w:sz="0" w:space="0" w:color="auto"/>
        <w:left w:val="none" w:sz="0" w:space="0" w:color="auto"/>
        <w:bottom w:val="none" w:sz="0" w:space="0" w:color="auto"/>
        <w:right w:val="none" w:sz="0" w:space="0" w:color="auto"/>
      </w:divBdr>
      <w:divsChild>
        <w:div w:id="972713836">
          <w:marLeft w:val="0"/>
          <w:marRight w:val="0"/>
          <w:marTop w:val="0"/>
          <w:marBottom w:val="0"/>
          <w:divBdr>
            <w:top w:val="none" w:sz="0" w:space="0" w:color="auto"/>
            <w:left w:val="none" w:sz="0" w:space="0" w:color="auto"/>
            <w:bottom w:val="none" w:sz="0" w:space="0" w:color="auto"/>
            <w:right w:val="none" w:sz="0" w:space="0" w:color="auto"/>
          </w:divBdr>
          <w:divsChild>
            <w:div w:id="43706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9838284">
      <w:bodyDiv w:val="1"/>
      <w:marLeft w:val="0"/>
      <w:marRight w:val="0"/>
      <w:marTop w:val="0"/>
      <w:marBottom w:val="0"/>
      <w:divBdr>
        <w:top w:val="none" w:sz="0" w:space="0" w:color="auto"/>
        <w:left w:val="none" w:sz="0" w:space="0" w:color="auto"/>
        <w:bottom w:val="none" w:sz="0" w:space="0" w:color="auto"/>
        <w:right w:val="none" w:sz="0" w:space="0" w:color="auto"/>
      </w:divBdr>
    </w:div>
    <w:div w:id="30813766">
      <w:bodyDiv w:val="1"/>
      <w:marLeft w:val="0"/>
      <w:marRight w:val="0"/>
      <w:marTop w:val="0"/>
      <w:marBottom w:val="0"/>
      <w:divBdr>
        <w:top w:val="none" w:sz="0" w:space="0" w:color="auto"/>
        <w:left w:val="none" w:sz="0" w:space="0" w:color="auto"/>
        <w:bottom w:val="none" w:sz="0" w:space="0" w:color="auto"/>
        <w:right w:val="none" w:sz="0" w:space="0" w:color="auto"/>
      </w:divBdr>
      <w:divsChild>
        <w:div w:id="1884365933">
          <w:marLeft w:val="0"/>
          <w:marRight w:val="0"/>
          <w:marTop w:val="0"/>
          <w:marBottom w:val="0"/>
          <w:divBdr>
            <w:top w:val="none" w:sz="0" w:space="0" w:color="auto"/>
            <w:left w:val="none" w:sz="0" w:space="0" w:color="auto"/>
            <w:bottom w:val="none" w:sz="0" w:space="0" w:color="auto"/>
            <w:right w:val="none" w:sz="0" w:space="0" w:color="auto"/>
          </w:divBdr>
        </w:div>
        <w:div w:id="1954361080">
          <w:marLeft w:val="0"/>
          <w:marRight w:val="0"/>
          <w:marTop w:val="0"/>
          <w:marBottom w:val="0"/>
          <w:divBdr>
            <w:top w:val="none" w:sz="0" w:space="0" w:color="auto"/>
            <w:left w:val="none" w:sz="0" w:space="0" w:color="auto"/>
            <w:bottom w:val="none" w:sz="0" w:space="0" w:color="auto"/>
            <w:right w:val="none" w:sz="0" w:space="0" w:color="auto"/>
          </w:divBdr>
        </w:div>
        <w:div w:id="2029333877">
          <w:marLeft w:val="0"/>
          <w:marRight w:val="0"/>
          <w:marTop w:val="0"/>
          <w:marBottom w:val="0"/>
          <w:divBdr>
            <w:top w:val="none" w:sz="0" w:space="0" w:color="auto"/>
            <w:left w:val="none" w:sz="0" w:space="0" w:color="auto"/>
            <w:bottom w:val="none" w:sz="0" w:space="0" w:color="auto"/>
            <w:right w:val="none" w:sz="0" w:space="0" w:color="auto"/>
          </w:divBdr>
        </w:div>
      </w:divsChild>
    </w:div>
    <w:div w:id="34936316">
      <w:bodyDiv w:val="1"/>
      <w:marLeft w:val="0"/>
      <w:marRight w:val="0"/>
      <w:marTop w:val="0"/>
      <w:marBottom w:val="0"/>
      <w:divBdr>
        <w:top w:val="none" w:sz="0" w:space="0" w:color="auto"/>
        <w:left w:val="none" w:sz="0" w:space="0" w:color="auto"/>
        <w:bottom w:val="none" w:sz="0" w:space="0" w:color="auto"/>
        <w:right w:val="none" w:sz="0" w:space="0" w:color="auto"/>
      </w:divBdr>
    </w:div>
    <w:div w:id="50857586">
      <w:bodyDiv w:val="1"/>
      <w:marLeft w:val="0"/>
      <w:marRight w:val="0"/>
      <w:marTop w:val="0"/>
      <w:marBottom w:val="0"/>
      <w:divBdr>
        <w:top w:val="none" w:sz="0" w:space="0" w:color="auto"/>
        <w:left w:val="none" w:sz="0" w:space="0" w:color="auto"/>
        <w:bottom w:val="none" w:sz="0" w:space="0" w:color="auto"/>
        <w:right w:val="none" w:sz="0" w:space="0" w:color="auto"/>
      </w:divBdr>
    </w:div>
    <w:div w:id="53239024">
      <w:bodyDiv w:val="1"/>
      <w:marLeft w:val="0"/>
      <w:marRight w:val="0"/>
      <w:marTop w:val="0"/>
      <w:marBottom w:val="0"/>
      <w:divBdr>
        <w:top w:val="none" w:sz="0" w:space="0" w:color="auto"/>
        <w:left w:val="none" w:sz="0" w:space="0" w:color="auto"/>
        <w:bottom w:val="none" w:sz="0" w:space="0" w:color="auto"/>
        <w:right w:val="none" w:sz="0" w:space="0" w:color="auto"/>
      </w:divBdr>
      <w:divsChild>
        <w:div w:id="954480548">
          <w:marLeft w:val="0"/>
          <w:marRight w:val="0"/>
          <w:marTop w:val="0"/>
          <w:marBottom w:val="0"/>
          <w:divBdr>
            <w:top w:val="none" w:sz="0" w:space="0" w:color="auto"/>
            <w:left w:val="none" w:sz="0" w:space="0" w:color="auto"/>
            <w:bottom w:val="none" w:sz="0" w:space="0" w:color="auto"/>
            <w:right w:val="none" w:sz="0" w:space="0" w:color="auto"/>
          </w:divBdr>
          <w:divsChild>
            <w:div w:id="158617997">
              <w:marLeft w:val="0"/>
              <w:marRight w:val="0"/>
              <w:marTop w:val="0"/>
              <w:marBottom w:val="0"/>
              <w:divBdr>
                <w:top w:val="none" w:sz="0" w:space="0" w:color="auto"/>
                <w:left w:val="none" w:sz="0" w:space="0" w:color="auto"/>
                <w:bottom w:val="none" w:sz="0" w:space="0" w:color="auto"/>
                <w:right w:val="none" w:sz="0" w:space="0" w:color="auto"/>
              </w:divBdr>
              <w:divsChild>
                <w:div w:id="2140410878">
                  <w:marLeft w:val="600"/>
                  <w:marRight w:val="600"/>
                  <w:marTop w:val="0"/>
                  <w:marBottom w:val="0"/>
                  <w:divBdr>
                    <w:top w:val="none" w:sz="0" w:space="0" w:color="auto"/>
                    <w:left w:val="none" w:sz="0" w:space="0" w:color="auto"/>
                    <w:bottom w:val="none" w:sz="0" w:space="0" w:color="auto"/>
                    <w:right w:val="none" w:sz="0" w:space="0" w:color="auto"/>
                  </w:divBdr>
                  <w:divsChild>
                    <w:div w:id="111945067">
                      <w:marLeft w:val="0"/>
                      <w:marRight w:val="0"/>
                      <w:marTop w:val="0"/>
                      <w:marBottom w:val="0"/>
                      <w:divBdr>
                        <w:top w:val="none" w:sz="0" w:space="0" w:color="auto"/>
                        <w:left w:val="none" w:sz="0" w:space="0" w:color="auto"/>
                        <w:bottom w:val="none" w:sz="0" w:space="0" w:color="auto"/>
                        <w:right w:val="none" w:sz="0" w:space="0" w:color="auto"/>
                      </w:divBdr>
                      <w:divsChild>
                        <w:div w:id="605774772">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6266641">
      <w:bodyDiv w:val="1"/>
      <w:marLeft w:val="0"/>
      <w:marRight w:val="0"/>
      <w:marTop w:val="0"/>
      <w:marBottom w:val="0"/>
      <w:divBdr>
        <w:top w:val="none" w:sz="0" w:space="0" w:color="auto"/>
        <w:left w:val="none" w:sz="0" w:space="0" w:color="auto"/>
        <w:bottom w:val="none" w:sz="0" w:space="0" w:color="auto"/>
        <w:right w:val="none" w:sz="0" w:space="0" w:color="auto"/>
      </w:divBdr>
    </w:div>
    <w:div w:id="67002929">
      <w:bodyDiv w:val="1"/>
      <w:marLeft w:val="0"/>
      <w:marRight w:val="0"/>
      <w:marTop w:val="0"/>
      <w:marBottom w:val="0"/>
      <w:divBdr>
        <w:top w:val="none" w:sz="0" w:space="0" w:color="auto"/>
        <w:left w:val="none" w:sz="0" w:space="0" w:color="auto"/>
        <w:bottom w:val="none" w:sz="0" w:space="0" w:color="auto"/>
        <w:right w:val="none" w:sz="0" w:space="0" w:color="auto"/>
      </w:divBdr>
      <w:divsChild>
        <w:div w:id="2058117404">
          <w:marLeft w:val="0"/>
          <w:marRight w:val="0"/>
          <w:marTop w:val="0"/>
          <w:marBottom w:val="0"/>
          <w:divBdr>
            <w:top w:val="none" w:sz="0" w:space="0" w:color="auto"/>
            <w:left w:val="none" w:sz="0" w:space="0" w:color="auto"/>
            <w:bottom w:val="none" w:sz="0" w:space="0" w:color="auto"/>
            <w:right w:val="none" w:sz="0" w:space="0" w:color="auto"/>
          </w:divBdr>
          <w:divsChild>
            <w:div w:id="446587947">
              <w:marLeft w:val="0"/>
              <w:marRight w:val="0"/>
              <w:marTop w:val="0"/>
              <w:marBottom w:val="0"/>
              <w:divBdr>
                <w:top w:val="none" w:sz="0" w:space="0" w:color="auto"/>
                <w:left w:val="none" w:sz="0" w:space="0" w:color="auto"/>
                <w:bottom w:val="none" w:sz="0" w:space="0" w:color="auto"/>
                <w:right w:val="none" w:sz="0" w:space="0" w:color="auto"/>
              </w:divBdr>
              <w:divsChild>
                <w:div w:id="1917859658">
                  <w:marLeft w:val="0"/>
                  <w:marRight w:val="0"/>
                  <w:marTop w:val="0"/>
                  <w:marBottom w:val="300"/>
                  <w:divBdr>
                    <w:top w:val="none" w:sz="0" w:space="0" w:color="auto"/>
                    <w:left w:val="none" w:sz="0" w:space="0" w:color="auto"/>
                    <w:bottom w:val="none" w:sz="0" w:space="0" w:color="auto"/>
                    <w:right w:val="none" w:sz="0" w:space="0" w:color="auto"/>
                  </w:divBdr>
                  <w:divsChild>
                    <w:div w:id="1803691604">
                      <w:marLeft w:val="0"/>
                      <w:marRight w:val="0"/>
                      <w:marTop w:val="0"/>
                      <w:marBottom w:val="0"/>
                      <w:divBdr>
                        <w:top w:val="none" w:sz="0" w:space="0" w:color="auto"/>
                        <w:left w:val="none" w:sz="0" w:space="0" w:color="auto"/>
                        <w:bottom w:val="none" w:sz="0" w:space="0" w:color="auto"/>
                        <w:right w:val="none" w:sz="0" w:space="0" w:color="auto"/>
                      </w:divBdr>
                      <w:divsChild>
                        <w:div w:id="1420368257">
                          <w:marLeft w:val="0"/>
                          <w:marRight w:val="0"/>
                          <w:marTop w:val="0"/>
                          <w:marBottom w:val="0"/>
                          <w:divBdr>
                            <w:top w:val="none" w:sz="0" w:space="0" w:color="auto"/>
                            <w:left w:val="none" w:sz="0" w:space="0" w:color="auto"/>
                            <w:bottom w:val="none" w:sz="0" w:space="0" w:color="auto"/>
                            <w:right w:val="none" w:sz="0" w:space="0" w:color="auto"/>
                          </w:divBdr>
                          <w:divsChild>
                            <w:div w:id="171974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210139">
      <w:bodyDiv w:val="1"/>
      <w:marLeft w:val="0"/>
      <w:marRight w:val="0"/>
      <w:marTop w:val="0"/>
      <w:marBottom w:val="0"/>
      <w:divBdr>
        <w:top w:val="none" w:sz="0" w:space="0" w:color="auto"/>
        <w:left w:val="none" w:sz="0" w:space="0" w:color="auto"/>
        <w:bottom w:val="none" w:sz="0" w:space="0" w:color="auto"/>
        <w:right w:val="none" w:sz="0" w:space="0" w:color="auto"/>
      </w:divBdr>
    </w:div>
    <w:div w:id="84541830">
      <w:bodyDiv w:val="1"/>
      <w:marLeft w:val="0"/>
      <w:marRight w:val="0"/>
      <w:marTop w:val="0"/>
      <w:marBottom w:val="0"/>
      <w:divBdr>
        <w:top w:val="none" w:sz="0" w:space="0" w:color="auto"/>
        <w:left w:val="none" w:sz="0" w:space="0" w:color="auto"/>
        <w:bottom w:val="none" w:sz="0" w:space="0" w:color="auto"/>
        <w:right w:val="none" w:sz="0" w:space="0" w:color="auto"/>
      </w:divBdr>
    </w:div>
    <w:div w:id="91778404">
      <w:bodyDiv w:val="1"/>
      <w:marLeft w:val="0"/>
      <w:marRight w:val="0"/>
      <w:marTop w:val="0"/>
      <w:marBottom w:val="0"/>
      <w:divBdr>
        <w:top w:val="none" w:sz="0" w:space="0" w:color="auto"/>
        <w:left w:val="none" w:sz="0" w:space="0" w:color="auto"/>
        <w:bottom w:val="none" w:sz="0" w:space="0" w:color="auto"/>
        <w:right w:val="none" w:sz="0" w:space="0" w:color="auto"/>
      </w:divBdr>
    </w:div>
    <w:div w:id="94054613">
      <w:bodyDiv w:val="1"/>
      <w:marLeft w:val="0"/>
      <w:marRight w:val="0"/>
      <w:marTop w:val="0"/>
      <w:marBottom w:val="0"/>
      <w:divBdr>
        <w:top w:val="none" w:sz="0" w:space="0" w:color="auto"/>
        <w:left w:val="none" w:sz="0" w:space="0" w:color="auto"/>
        <w:bottom w:val="none" w:sz="0" w:space="0" w:color="auto"/>
        <w:right w:val="none" w:sz="0" w:space="0" w:color="auto"/>
      </w:divBdr>
      <w:divsChild>
        <w:div w:id="1754157562">
          <w:marLeft w:val="0"/>
          <w:marRight w:val="0"/>
          <w:marTop w:val="0"/>
          <w:marBottom w:val="0"/>
          <w:divBdr>
            <w:top w:val="none" w:sz="0" w:space="0" w:color="auto"/>
            <w:left w:val="none" w:sz="0" w:space="0" w:color="auto"/>
            <w:bottom w:val="none" w:sz="0" w:space="0" w:color="auto"/>
            <w:right w:val="none" w:sz="0" w:space="0" w:color="auto"/>
          </w:divBdr>
        </w:div>
        <w:div w:id="2102532100">
          <w:marLeft w:val="0"/>
          <w:marRight w:val="0"/>
          <w:marTop w:val="0"/>
          <w:marBottom w:val="0"/>
          <w:divBdr>
            <w:top w:val="none" w:sz="0" w:space="0" w:color="auto"/>
            <w:left w:val="none" w:sz="0" w:space="0" w:color="auto"/>
            <w:bottom w:val="none" w:sz="0" w:space="0" w:color="auto"/>
            <w:right w:val="none" w:sz="0" w:space="0" w:color="auto"/>
          </w:divBdr>
        </w:div>
        <w:div w:id="1737167023">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1167973">
      <w:bodyDiv w:val="1"/>
      <w:marLeft w:val="0"/>
      <w:marRight w:val="0"/>
      <w:marTop w:val="0"/>
      <w:marBottom w:val="0"/>
      <w:divBdr>
        <w:top w:val="none" w:sz="0" w:space="0" w:color="auto"/>
        <w:left w:val="none" w:sz="0" w:space="0" w:color="auto"/>
        <w:bottom w:val="none" w:sz="0" w:space="0" w:color="auto"/>
        <w:right w:val="none" w:sz="0" w:space="0" w:color="auto"/>
      </w:divBdr>
      <w:divsChild>
        <w:div w:id="1453018727">
          <w:marLeft w:val="0"/>
          <w:marRight w:val="0"/>
          <w:marTop w:val="0"/>
          <w:marBottom w:val="0"/>
          <w:divBdr>
            <w:top w:val="none" w:sz="0" w:space="0" w:color="auto"/>
            <w:left w:val="none" w:sz="0" w:space="0" w:color="auto"/>
            <w:bottom w:val="none" w:sz="0" w:space="0" w:color="auto"/>
            <w:right w:val="none" w:sz="0" w:space="0" w:color="auto"/>
          </w:divBdr>
        </w:div>
        <w:div w:id="1660690955">
          <w:marLeft w:val="0"/>
          <w:marRight w:val="0"/>
          <w:marTop w:val="0"/>
          <w:marBottom w:val="0"/>
          <w:divBdr>
            <w:top w:val="none" w:sz="0" w:space="0" w:color="auto"/>
            <w:left w:val="none" w:sz="0" w:space="0" w:color="auto"/>
            <w:bottom w:val="none" w:sz="0" w:space="0" w:color="auto"/>
            <w:right w:val="none" w:sz="0" w:space="0" w:color="auto"/>
          </w:divBdr>
        </w:div>
        <w:div w:id="345792519">
          <w:marLeft w:val="0"/>
          <w:marRight w:val="0"/>
          <w:marTop w:val="0"/>
          <w:marBottom w:val="0"/>
          <w:divBdr>
            <w:top w:val="none" w:sz="0" w:space="0" w:color="auto"/>
            <w:left w:val="none" w:sz="0" w:space="0" w:color="auto"/>
            <w:bottom w:val="none" w:sz="0" w:space="0" w:color="auto"/>
            <w:right w:val="none" w:sz="0" w:space="0" w:color="auto"/>
          </w:divBdr>
        </w:div>
      </w:divsChild>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19226998">
      <w:bodyDiv w:val="1"/>
      <w:marLeft w:val="0"/>
      <w:marRight w:val="0"/>
      <w:marTop w:val="0"/>
      <w:marBottom w:val="0"/>
      <w:divBdr>
        <w:top w:val="none" w:sz="0" w:space="0" w:color="auto"/>
        <w:left w:val="none" w:sz="0" w:space="0" w:color="auto"/>
        <w:bottom w:val="none" w:sz="0" w:space="0" w:color="auto"/>
        <w:right w:val="none" w:sz="0" w:space="0" w:color="auto"/>
      </w:divBdr>
    </w:div>
    <w:div w:id="119423748">
      <w:bodyDiv w:val="1"/>
      <w:marLeft w:val="0"/>
      <w:marRight w:val="0"/>
      <w:marTop w:val="0"/>
      <w:marBottom w:val="0"/>
      <w:divBdr>
        <w:top w:val="none" w:sz="0" w:space="0" w:color="auto"/>
        <w:left w:val="none" w:sz="0" w:space="0" w:color="auto"/>
        <w:bottom w:val="none" w:sz="0" w:space="0" w:color="auto"/>
        <w:right w:val="none" w:sz="0" w:space="0" w:color="auto"/>
      </w:divBdr>
    </w:div>
    <w:div w:id="131295482">
      <w:bodyDiv w:val="1"/>
      <w:marLeft w:val="0"/>
      <w:marRight w:val="0"/>
      <w:marTop w:val="0"/>
      <w:marBottom w:val="0"/>
      <w:divBdr>
        <w:top w:val="none" w:sz="0" w:space="0" w:color="auto"/>
        <w:left w:val="none" w:sz="0" w:space="0" w:color="auto"/>
        <w:bottom w:val="none" w:sz="0" w:space="0" w:color="auto"/>
        <w:right w:val="none" w:sz="0" w:space="0" w:color="auto"/>
      </w:divBdr>
    </w:div>
    <w:div w:id="134490512">
      <w:bodyDiv w:val="1"/>
      <w:marLeft w:val="0"/>
      <w:marRight w:val="0"/>
      <w:marTop w:val="0"/>
      <w:marBottom w:val="0"/>
      <w:divBdr>
        <w:top w:val="none" w:sz="0" w:space="0" w:color="auto"/>
        <w:left w:val="none" w:sz="0" w:space="0" w:color="auto"/>
        <w:bottom w:val="none" w:sz="0" w:space="0" w:color="auto"/>
        <w:right w:val="none" w:sz="0" w:space="0" w:color="auto"/>
      </w:divBdr>
      <w:divsChild>
        <w:div w:id="385766243">
          <w:marLeft w:val="0"/>
          <w:marRight w:val="0"/>
          <w:marTop w:val="0"/>
          <w:marBottom w:val="0"/>
          <w:divBdr>
            <w:top w:val="none" w:sz="0" w:space="0" w:color="auto"/>
            <w:left w:val="none" w:sz="0" w:space="0" w:color="auto"/>
            <w:bottom w:val="none" w:sz="0" w:space="0" w:color="auto"/>
            <w:right w:val="none" w:sz="0" w:space="0" w:color="auto"/>
          </w:divBdr>
        </w:div>
        <w:div w:id="560596473">
          <w:marLeft w:val="0"/>
          <w:marRight w:val="0"/>
          <w:marTop w:val="0"/>
          <w:marBottom w:val="0"/>
          <w:divBdr>
            <w:top w:val="none" w:sz="0" w:space="0" w:color="auto"/>
            <w:left w:val="none" w:sz="0" w:space="0" w:color="auto"/>
            <w:bottom w:val="none" w:sz="0" w:space="0" w:color="auto"/>
            <w:right w:val="none" w:sz="0" w:space="0" w:color="auto"/>
          </w:divBdr>
        </w:div>
        <w:div w:id="438918915">
          <w:marLeft w:val="0"/>
          <w:marRight w:val="0"/>
          <w:marTop w:val="0"/>
          <w:marBottom w:val="0"/>
          <w:divBdr>
            <w:top w:val="none" w:sz="0" w:space="0" w:color="auto"/>
            <w:left w:val="none" w:sz="0" w:space="0" w:color="auto"/>
            <w:bottom w:val="none" w:sz="0" w:space="0" w:color="auto"/>
            <w:right w:val="none" w:sz="0" w:space="0" w:color="auto"/>
          </w:divBdr>
        </w:div>
      </w:divsChild>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39074714">
      <w:bodyDiv w:val="1"/>
      <w:marLeft w:val="0"/>
      <w:marRight w:val="0"/>
      <w:marTop w:val="0"/>
      <w:marBottom w:val="0"/>
      <w:divBdr>
        <w:top w:val="none" w:sz="0" w:space="0" w:color="auto"/>
        <w:left w:val="none" w:sz="0" w:space="0" w:color="auto"/>
        <w:bottom w:val="none" w:sz="0" w:space="0" w:color="auto"/>
        <w:right w:val="none" w:sz="0" w:space="0" w:color="auto"/>
      </w:divBdr>
    </w:div>
    <w:div w:id="150026743">
      <w:bodyDiv w:val="1"/>
      <w:marLeft w:val="0"/>
      <w:marRight w:val="0"/>
      <w:marTop w:val="0"/>
      <w:marBottom w:val="0"/>
      <w:divBdr>
        <w:top w:val="none" w:sz="0" w:space="0" w:color="auto"/>
        <w:left w:val="none" w:sz="0" w:space="0" w:color="auto"/>
        <w:bottom w:val="none" w:sz="0" w:space="0" w:color="auto"/>
        <w:right w:val="none" w:sz="0" w:space="0" w:color="auto"/>
      </w:divBdr>
    </w:div>
    <w:div w:id="158354585">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62089437">
      <w:bodyDiv w:val="1"/>
      <w:marLeft w:val="0"/>
      <w:marRight w:val="0"/>
      <w:marTop w:val="0"/>
      <w:marBottom w:val="0"/>
      <w:divBdr>
        <w:top w:val="none" w:sz="0" w:space="0" w:color="auto"/>
        <w:left w:val="none" w:sz="0" w:space="0" w:color="auto"/>
        <w:bottom w:val="none" w:sz="0" w:space="0" w:color="auto"/>
        <w:right w:val="none" w:sz="0" w:space="0" w:color="auto"/>
      </w:divBdr>
      <w:divsChild>
        <w:div w:id="380904399">
          <w:marLeft w:val="0"/>
          <w:marRight w:val="0"/>
          <w:marTop w:val="0"/>
          <w:marBottom w:val="30"/>
          <w:divBdr>
            <w:top w:val="none" w:sz="0" w:space="0" w:color="auto"/>
            <w:left w:val="none" w:sz="0" w:space="0" w:color="auto"/>
            <w:bottom w:val="none" w:sz="0" w:space="0" w:color="auto"/>
            <w:right w:val="none" w:sz="0" w:space="0" w:color="auto"/>
          </w:divBdr>
          <w:divsChild>
            <w:div w:id="1185100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93324">
      <w:bodyDiv w:val="1"/>
      <w:marLeft w:val="0"/>
      <w:marRight w:val="0"/>
      <w:marTop w:val="0"/>
      <w:marBottom w:val="0"/>
      <w:divBdr>
        <w:top w:val="none" w:sz="0" w:space="0" w:color="auto"/>
        <w:left w:val="none" w:sz="0" w:space="0" w:color="auto"/>
        <w:bottom w:val="none" w:sz="0" w:space="0" w:color="auto"/>
        <w:right w:val="none" w:sz="0" w:space="0" w:color="auto"/>
      </w:divBdr>
    </w:div>
    <w:div w:id="198975680">
      <w:bodyDiv w:val="1"/>
      <w:marLeft w:val="0"/>
      <w:marRight w:val="0"/>
      <w:marTop w:val="0"/>
      <w:marBottom w:val="0"/>
      <w:divBdr>
        <w:top w:val="none" w:sz="0" w:space="0" w:color="auto"/>
        <w:left w:val="none" w:sz="0" w:space="0" w:color="auto"/>
        <w:bottom w:val="none" w:sz="0" w:space="0" w:color="auto"/>
        <w:right w:val="none" w:sz="0" w:space="0" w:color="auto"/>
      </w:divBdr>
      <w:divsChild>
        <w:div w:id="423692630">
          <w:marLeft w:val="0"/>
          <w:marRight w:val="0"/>
          <w:marTop w:val="0"/>
          <w:marBottom w:val="0"/>
          <w:divBdr>
            <w:top w:val="none" w:sz="0" w:space="0" w:color="auto"/>
            <w:left w:val="none" w:sz="0" w:space="0" w:color="auto"/>
            <w:bottom w:val="none" w:sz="0" w:space="0" w:color="auto"/>
            <w:right w:val="none" w:sz="0" w:space="0" w:color="auto"/>
          </w:divBdr>
          <w:divsChild>
            <w:div w:id="75441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16485">
      <w:bodyDiv w:val="1"/>
      <w:marLeft w:val="0"/>
      <w:marRight w:val="0"/>
      <w:marTop w:val="0"/>
      <w:marBottom w:val="0"/>
      <w:divBdr>
        <w:top w:val="none" w:sz="0" w:space="0" w:color="auto"/>
        <w:left w:val="none" w:sz="0" w:space="0" w:color="auto"/>
        <w:bottom w:val="none" w:sz="0" w:space="0" w:color="auto"/>
        <w:right w:val="none" w:sz="0" w:space="0" w:color="auto"/>
      </w:divBdr>
    </w:div>
    <w:div w:id="20626507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154201">
      <w:bodyDiv w:val="1"/>
      <w:marLeft w:val="0"/>
      <w:marRight w:val="0"/>
      <w:marTop w:val="0"/>
      <w:marBottom w:val="0"/>
      <w:divBdr>
        <w:top w:val="none" w:sz="0" w:space="0" w:color="auto"/>
        <w:left w:val="none" w:sz="0" w:space="0" w:color="auto"/>
        <w:bottom w:val="none" w:sz="0" w:space="0" w:color="auto"/>
        <w:right w:val="none" w:sz="0" w:space="0" w:color="auto"/>
      </w:divBdr>
    </w:div>
    <w:div w:id="212471131">
      <w:bodyDiv w:val="1"/>
      <w:marLeft w:val="0"/>
      <w:marRight w:val="0"/>
      <w:marTop w:val="0"/>
      <w:marBottom w:val="0"/>
      <w:divBdr>
        <w:top w:val="none" w:sz="0" w:space="0" w:color="auto"/>
        <w:left w:val="none" w:sz="0" w:space="0" w:color="auto"/>
        <w:bottom w:val="none" w:sz="0" w:space="0" w:color="auto"/>
        <w:right w:val="none" w:sz="0" w:space="0" w:color="auto"/>
      </w:divBdr>
      <w:divsChild>
        <w:div w:id="832914849">
          <w:marLeft w:val="0"/>
          <w:marRight w:val="0"/>
          <w:marTop w:val="0"/>
          <w:marBottom w:val="0"/>
          <w:divBdr>
            <w:top w:val="none" w:sz="0" w:space="0" w:color="auto"/>
            <w:left w:val="none" w:sz="0" w:space="0" w:color="auto"/>
            <w:bottom w:val="none" w:sz="0" w:space="0" w:color="auto"/>
            <w:right w:val="none" w:sz="0" w:space="0" w:color="auto"/>
          </w:divBdr>
        </w:div>
        <w:div w:id="1342583165">
          <w:marLeft w:val="0"/>
          <w:marRight w:val="0"/>
          <w:marTop w:val="0"/>
          <w:marBottom w:val="0"/>
          <w:divBdr>
            <w:top w:val="none" w:sz="0" w:space="0" w:color="auto"/>
            <w:left w:val="none" w:sz="0" w:space="0" w:color="auto"/>
            <w:bottom w:val="none" w:sz="0" w:space="0" w:color="auto"/>
            <w:right w:val="none" w:sz="0" w:space="0" w:color="auto"/>
          </w:divBdr>
          <w:divsChild>
            <w:div w:id="2003779115">
              <w:marLeft w:val="0"/>
              <w:marRight w:val="0"/>
              <w:marTop w:val="0"/>
              <w:marBottom w:val="0"/>
              <w:divBdr>
                <w:top w:val="none" w:sz="0" w:space="0" w:color="auto"/>
                <w:left w:val="none" w:sz="0" w:space="0" w:color="auto"/>
                <w:bottom w:val="none" w:sz="0" w:space="0" w:color="auto"/>
                <w:right w:val="none" w:sz="0" w:space="0" w:color="auto"/>
              </w:divBdr>
              <w:divsChild>
                <w:div w:id="1017461697">
                  <w:marLeft w:val="0"/>
                  <w:marRight w:val="0"/>
                  <w:marTop w:val="0"/>
                  <w:marBottom w:val="0"/>
                  <w:divBdr>
                    <w:top w:val="none" w:sz="0" w:space="0" w:color="auto"/>
                    <w:left w:val="none" w:sz="0" w:space="0" w:color="auto"/>
                    <w:bottom w:val="none" w:sz="0" w:space="0" w:color="auto"/>
                    <w:right w:val="none" w:sz="0" w:space="0" w:color="auto"/>
                  </w:divBdr>
                </w:div>
                <w:div w:id="2132823645">
                  <w:marLeft w:val="0"/>
                  <w:marRight w:val="0"/>
                  <w:marTop w:val="75"/>
                  <w:marBottom w:val="0"/>
                  <w:divBdr>
                    <w:top w:val="none" w:sz="0" w:space="0" w:color="auto"/>
                    <w:left w:val="none" w:sz="0" w:space="0" w:color="auto"/>
                    <w:bottom w:val="none" w:sz="0" w:space="0" w:color="auto"/>
                    <w:right w:val="none" w:sz="0" w:space="0" w:color="auto"/>
                  </w:divBdr>
                </w:div>
              </w:divsChild>
            </w:div>
            <w:div w:id="21026611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31820875">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2671648">
      <w:bodyDiv w:val="1"/>
      <w:marLeft w:val="0"/>
      <w:marRight w:val="0"/>
      <w:marTop w:val="0"/>
      <w:marBottom w:val="0"/>
      <w:divBdr>
        <w:top w:val="none" w:sz="0" w:space="0" w:color="auto"/>
        <w:left w:val="none" w:sz="0" w:space="0" w:color="auto"/>
        <w:bottom w:val="none" w:sz="0" w:space="0" w:color="auto"/>
        <w:right w:val="none" w:sz="0" w:space="0" w:color="auto"/>
      </w:divBdr>
      <w:divsChild>
        <w:div w:id="1733504517">
          <w:marLeft w:val="0"/>
          <w:marRight w:val="0"/>
          <w:marTop w:val="0"/>
          <w:marBottom w:val="0"/>
          <w:divBdr>
            <w:top w:val="none" w:sz="0" w:space="0" w:color="auto"/>
            <w:left w:val="none" w:sz="0" w:space="0" w:color="auto"/>
            <w:bottom w:val="none" w:sz="0" w:space="0" w:color="auto"/>
            <w:right w:val="none" w:sz="0" w:space="0" w:color="auto"/>
          </w:divBdr>
        </w:div>
      </w:divsChild>
    </w:div>
    <w:div w:id="256252692">
      <w:bodyDiv w:val="1"/>
      <w:marLeft w:val="0"/>
      <w:marRight w:val="0"/>
      <w:marTop w:val="0"/>
      <w:marBottom w:val="0"/>
      <w:divBdr>
        <w:top w:val="none" w:sz="0" w:space="0" w:color="auto"/>
        <w:left w:val="none" w:sz="0" w:space="0" w:color="auto"/>
        <w:bottom w:val="none" w:sz="0" w:space="0" w:color="auto"/>
        <w:right w:val="none" w:sz="0" w:space="0" w:color="auto"/>
      </w:divBdr>
    </w:div>
    <w:div w:id="258953467">
      <w:bodyDiv w:val="1"/>
      <w:marLeft w:val="0"/>
      <w:marRight w:val="0"/>
      <w:marTop w:val="0"/>
      <w:marBottom w:val="0"/>
      <w:divBdr>
        <w:top w:val="none" w:sz="0" w:space="0" w:color="auto"/>
        <w:left w:val="none" w:sz="0" w:space="0" w:color="auto"/>
        <w:bottom w:val="none" w:sz="0" w:space="0" w:color="auto"/>
        <w:right w:val="none" w:sz="0" w:space="0" w:color="auto"/>
      </w:divBdr>
    </w:div>
    <w:div w:id="261375785">
      <w:bodyDiv w:val="1"/>
      <w:marLeft w:val="0"/>
      <w:marRight w:val="0"/>
      <w:marTop w:val="0"/>
      <w:marBottom w:val="0"/>
      <w:divBdr>
        <w:top w:val="none" w:sz="0" w:space="0" w:color="auto"/>
        <w:left w:val="none" w:sz="0" w:space="0" w:color="auto"/>
        <w:bottom w:val="none" w:sz="0" w:space="0" w:color="auto"/>
        <w:right w:val="none" w:sz="0" w:space="0" w:color="auto"/>
      </w:divBdr>
    </w:div>
    <w:div w:id="269507822">
      <w:bodyDiv w:val="1"/>
      <w:marLeft w:val="0"/>
      <w:marRight w:val="0"/>
      <w:marTop w:val="0"/>
      <w:marBottom w:val="0"/>
      <w:divBdr>
        <w:top w:val="none" w:sz="0" w:space="0" w:color="auto"/>
        <w:left w:val="none" w:sz="0" w:space="0" w:color="auto"/>
        <w:bottom w:val="none" w:sz="0" w:space="0" w:color="auto"/>
        <w:right w:val="none" w:sz="0" w:space="0" w:color="auto"/>
      </w:divBdr>
    </w:div>
    <w:div w:id="282083215">
      <w:bodyDiv w:val="1"/>
      <w:marLeft w:val="0"/>
      <w:marRight w:val="0"/>
      <w:marTop w:val="0"/>
      <w:marBottom w:val="0"/>
      <w:divBdr>
        <w:top w:val="none" w:sz="0" w:space="0" w:color="auto"/>
        <w:left w:val="none" w:sz="0" w:space="0" w:color="auto"/>
        <w:bottom w:val="none" w:sz="0" w:space="0" w:color="auto"/>
        <w:right w:val="none" w:sz="0" w:space="0" w:color="auto"/>
      </w:divBdr>
    </w:div>
    <w:div w:id="284240882">
      <w:bodyDiv w:val="1"/>
      <w:marLeft w:val="0"/>
      <w:marRight w:val="0"/>
      <w:marTop w:val="0"/>
      <w:marBottom w:val="0"/>
      <w:divBdr>
        <w:top w:val="none" w:sz="0" w:space="0" w:color="auto"/>
        <w:left w:val="none" w:sz="0" w:space="0" w:color="auto"/>
        <w:bottom w:val="none" w:sz="0" w:space="0" w:color="auto"/>
        <w:right w:val="none" w:sz="0" w:space="0" w:color="auto"/>
      </w:divBdr>
    </w:div>
    <w:div w:id="290062877">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7587338">
      <w:bodyDiv w:val="1"/>
      <w:marLeft w:val="0"/>
      <w:marRight w:val="0"/>
      <w:marTop w:val="0"/>
      <w:marBottom w:val="0"/>
      <w:divBdr>
        <w:top w:val="none" w:sz="0" w:space="0" w:color="auto"/>
        <w:left w:val="none" w:sz="0" w:space="0" w:color="auto"/>
        <w:bottom w:val="none" w:sz="0" w:space="0" w:color="auto"/>
        <w:right w:val="none" w:sz="0" w:space="0" w:color="auto"/>
      </w:divBdr>
    </w:div>
    <w:div w:id="307831728">
      <w:bodyDiv w:val="1"/>
      <w:marLeft w:val="0"/>
      <w:marRight w:val="0"/>
      <w:marTop w:val="0"/>
      <w:marBottom w:val="0"/>
      <w:divBdr>
        <w:top w:val="none" w:sz="0" w:space="0" w:color="auto"/>
        <w:left w:val="none" w:sz="0" w:space="0" w:color="auto"/>
        <w:bottom w:val="none" w:sz="0" w:space="0" w:color="auto"/>
        <w:right w:val="none" w:sz="0" w:space="0" w:color="auto"/>
      </w:divBdr>
      <w:divsChild>
        <w:div w:id="965235203">
          <w:marLeft w:val="0"/>
          <w:marRight w:val="0"/>
          <w:marTop w:val="0"/>
          <w:marBottom w:val="0"/>
          <w:divBdr>
            <w:top w:val="none" w:sz="0" w:space="0" w:color="auto"/>
            <w:left w:val="none" w:sz="0" w:space="0" w:color="auto"/>
            <w:bottom w:val="none" w:sz="0" w:space="0" w:color="auto"/>
            <w:right w:val="none" w:sz="0" w:space="0" w:color="auto"/>
          </w:divBdr>
        </w:div>
      </w:divsChild>
    </w:div>
    <w:div w:id="312220267">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29675597">
      <w:bodyDiv w:val="1"/>
      <w:marLeft w:val="0"/>
      <w:marRight w:val="0"/>
      <w:marTop w:val="0"/>
      <w:marBottom w:val="0"/>
      <w:divBdr>
        <w:top w:val="none" w:sz="0" w:space="0" w:color="auto"/>
        <w:left w:val="none" w:sz="0" w:space="0" w:color="auto"/>
        <w:bottom w:val="none" w:sz="0" w:space="0" w:color="auto"/>
        <w:right w:val="none" w:sz="0" w:space="0" w:color="auto"/>
      </w:divBdr>
    </w:div>
    <w:div w:id="333261073">
      <w:bodyDiv w:val="1"/>
      <w:marLeft w:val="0"/>
      <w:marRight w:val="0"/>
      <w:marTop w:val="0"/>
      <w:marBottom w:val="0"/>
      <w:divBdr>
        <w:top w:val="none" w:sz="0" w:space="0" w:color="auto"/>
        <w:left w:val="none" w:sz="0" w:space="0" w:color="auto"/>
        <w:bottom w:val="none" w:sz="0" w:space="0" w:color="auto"/>
        <w:right w:val="none" w:sz="0" w:space="0" w:color="auto"/>
      </w:divBdr>
      <w:divsChild>
        <w:div w:id="623777985">
          <w:marLeft w:val="0"/>
          <w:marRight w:val="0"/>
          <w:marTop w:val="0"/>
          <w:marBottom w:val="0"/>
          <w:divBdr>
            <w:top w:val="none" w:sz="0" w:space="0" w:color="auto"/>
            <w:left w:val="none" w:sz="0" w:space="0" w:color="auto"/>
            <w:bottom w:val="none" w:sz="0" w:space="0" w:color="auto"/>
            <w:right w:val="none" w:sz="0" w:space="0" w:color="auto"/>
          </w:divBdr>
          <w:divsChild>
            <w:div w:id="46218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998499">
      <w:bodyDiv w:val="1"/>
      <w:marLeft w:val="0"/>
      <w:marRight w:val="0"/>
      <w:marTop w:val="0"/>
      <w:marBottom w:val="0"/>
      <w:divBdr>
        <w:top w:val="none" w:sz="0" w:space="0" w:color="auto"/>
        <w:left w:val="none" w:sz="0" w:space="0" w:color="auto"/>
        <w:bottom w:val="none" w:sz="0" w:space="0" w:color="auto"/>
        <w:right w:val="none" w:sz="0" w:space="0" w:color="auto"/>
      </w:divBdr>
    </w:div>
    <w:div w:id="343434803">
      <w:bodyDiv w:val="1"/>
      <w:marLeft w:val="0"/>
      <w:marRight w:val="0"/>
      <w:marTop w:val="0"/>
      <w:marBottom w:val="0"/>
      <w:divBdr>
        <w:top w:val="none" w:sz="0" w:space="0" w:color="auto"/>
        <w:left w:val="none" w:sz="0" w:space="0" w:color="auto"/>
        <w:bottom w:val="none" w:sz="0" w:space="0" w:color="auto"/>
        <w:right w:val="none" w:sz="0" w:space="0" w:color="auto"/>
      </w:divBdr>
    </w:div>
    <w:div w:id="353700021">
      <w:bodyDiv w:val="1"/>
      <w:marLeft w:val="0"/>
      <w:marRight w:val="0"/>
      <w:marTop w:val="0"/>
      <w:marBottom w:val="0"/>
      <w:divBdr>
        <w:top w:val="none" w:sz="0" w:space="0" w:color="auto"/>
        <w:left w:val="none" w:sz="0" w:space="0" w:color="auto"/>
        <w:bottom w:val="none" w:sz="0" w:space="0" w:color="auto"/>
        <w:right w:val="none" w:sz="0" w:space="0" w:color="auto"/>
      </w:divBdr>
      <w:divsChild>
        <w:div w:id="1712921659">
          <w:marLeft w:val="0"/>
          <w:marRight w:val="0"/>
          <w:marTop w:val="0"/>
          <w:marBottom w:val="225"/>
          <w:divBdr>
            <w:top w:val="none" w:sz="0" w:space="0" w:color="auto"/>
            <w:left w:val="none" w:sz="0" w:space="0" w:color="auto"/>
            <w:bottom w:val="none" w:sz="0" w:space="0" w:color="auto"/>
            <w:right w:val="none" w:sz="0" w:space="0" w:color="auto"/>
          </w:divBdr>
        </w:div>
      </w:divsChild>
    </w:div>
    <w:div w:id="354812360">
      <w:bodyDiv w:val="1"/>
      <w:marLeft w:val="0"/>
      <w:marRight w:val="0"/>
      <w:marTop w:val="0"/>
      <w:marBottom w:val="0"/>
      <w:divBdr>
        <w:top w:val="none" w:sz="0" w:space="0" w:color="auto"/>
        <w:left w:val="none" w:sz="0" w:space="0" w:color="auto"/>
        <w:bottom w:val="none" w:sz="0" w:space="0" w:color="auto"/>
        <w:right w:val="none" w:sz="0" w:space="0" w:color="auto"/>
      </w:divBdr>
    </w:div>
    <w:div w:id="379717604">
      <w:bodyDiv w:val="1"/>
      <w:marLeft w:val="0"/>
      <w:marRight w:val="0"/>
      <w:marTop w:val="0"/>
      <w:marBottom w:val="0"/>
      <w:divBdr>
        <w:top w:val="none" w:sz="0" w:space="0" w:color="auto"/>
        <w:left w:val="none" w:sz="0" w:space="0" w:color="auto"/>
        <w:bottom w:val="none" w:sz="0" w:space="0" w:color="auto"/>
        <w:right w:val="none" w:sz="0" w:space="0" w:color="auto"/>
      </w:divBdr>
    </w:div>
    <w:div w:id="380324968">
      <w:bodyDiv w:val="1"/>
      <w:marLeft w:val="0"/>
      <w:marRight w:val="0"/>
      <w:marTop w:val="0"/>
      <w:marBottom w:val="0"/>
      <w:divBdr>
        <w:top w:val="none" w:sz="0" w:space="0" w:color="auto"/>
        <w:left w:val="none" w:sz="0" w:space="0" w:color="auto"/>
        <w:bottom w:val="none" w:sz="0" w:space="0" w:color="auto"/>
        <w:right w:val="none" w:sz="0" w:space="0" w:color="auto"/>
      </w:divBdr>
    </w:div>
    <w:div w:id="390735983">
      <w:bodyDiv w:val="1"/>
      <w:marLeft w:val="0"/>
      <w:marRight w:val="0"/>
      <w:marTop w:val="0"/>
      <w:marBottom w:val="0"/>
      <w:divBdr>
        <w:top w:val="none" w:sz="0" w:space="0" w:color="auto"/>
        <w:left w:val="none" w:sz="0" w:space="0" w:color="auto"/>
        <w:bottom w:val="none" w:sz="0" w:space="0" w:color="auto"/>
        <w:right w:val="none" w:sz="0" w:space="0" w:color="auto"/>
      </w:divBdr>
    </w:div>
    <w:div w:id="39670889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0493558">
      <w:bodyDiv w:val="1"/>
      <w:marLeft w:val="0"/>
      <w:marRight w:val="0"/>
      <w:marTop w:val="0"/>
      <w:marBottom w:val="0"/>
      <w:divBdr>
        <w:top w:val="none" w:sz="0" w:space="0" w:color="auto"/>
        <w:left w:val="none" w:sz="0" w:space="0" w:color="auto"/>
        <w:bottom w:val="none" w:sz="0" w:space="0" w:color="auto"/>
        <w:right w:val="none" w:sz="0" w:space="0" w:color="auto"/>
      </w:divBdr>
    </w:div>
    <w:div w:id="403069366">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545401">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60921105">
      <w:bodyDiv w:val="1"/>
      <w:marLeft w:val="0"/>
      <w:marRight w:val="0"/>
      <w:marTop w:val="0"/>
      <w:marBottom w:val="0"/>
      <w:divBdr>
        <w:top w:val="none" w:sz="0" w:space="0" w:color="auto"/>
        <w:left w:val="none" w:sz="0" w:space="0" w:color="auto"/>
        <w:bottom w:val="none" w:sz="0" w:space="0" w:color="auto"/>
        <w:right w:val="none" w:sz="0" w:space="0" w:color="auto"/>
      </w:divBdr>
      <w:divsChild>
        <w:div w:id="1114642167">
          <w:marLeft w:val="1200"/>
          <w:marRight w:val="0"/>
          <w:marTop w:val="0"/>
          <w:marBottom w:val="0"/>
          <w:divBdr>
            <w:top w:val="none" w:sz="0" w:space="0" w:color="auto"/>
            <w:left w:val="none" w:sz="0" w:space="0" w:color="auto"/>
            <w:bottom w:val="none" w:sz="0" w:space="0" w:color="auto"/>
            <w:right w:val="none" w:sz="0" w:space="0" w:color="auto"/>
          </w:divBdr>
        </w:div>
      </w:divsChild>
    </w:div>
    <w:div w:id="470899943">
      <w:bodyDiv w:val="1"/>
      <w:marLeft w:val="0"/>
      <w:marRight w:val="0"/>
      <w:marTop w:val="0"/>
      <w:marBottom w:val="0"/>
      <w:divBdr>
        <w:top w:val="none" w:sz="0" w:space="0" w:color="auto"/>
        <w:left w:val="none" w:sz="0" w:space="0" w:color="auto"/>
        <w:bottom w:val="none" w:sz="0" w:space="0" w:color="auto"/>
        <w:right w:val="none" w:sz="0" w:space="0" w:color="auto"/>
      </w:divBdr>
      <w:divsChild>
        <w:div w:id="863401156">
          <w:marLeft w:val="0"/>
          <w:marRight w:val="0"/>
          <w:marTop w:val="0"/>
          <w:marBottom w:val="120"/>
          <w:divBdr>
            <w:top w:val="none" w:sz="0" w:space="0" w:color="auto"/>
            <w:left w:val="none" w:sz="0" w:space="0" w:color="auto"/>
            <w:bottom w:val="none" w:sz="0" w:space="0" w:color="auto"/>
            <w:right w:val="none" w:sz="0" w:space="0" w:color="auto"/>
          </w:divBdr>
        </w:div>
      </w:divsChild>
    </w:div>
    <w:div w:id="471606315">
      <w:bodyDiv w:val="1"/>
      <w:marLeft w:val="0"/>
      <w:marRight w:val="0"/>
      <w:marTop w:val="0"/>
      <w:marBottom w:val="0"/>
      <w:divBdr>
        <w:top w:val="none" w:sz="0" w:space="0" w:color="auto"/>
        <w:left w:val="none" w:sz="0" w:space="0" w:color="auto"/>
        <w:bottom w:val="none" w:sz="0" w:space="0" w:color="auto"/>
        <w:right w:val="none" w:sz="0" w:space="0" w:color="auto"/>
      </w:divBdr>
      <w:divsChild>
        <w:div w:id="1177189525">
          <w:marLeft w:val="0"/>
          <w:marRight w:val="0"/>
          <w:marTop w:val="0"/>
          <w:marBottom w:val="0"/>
          <w:divBdr>
            <w:top w:val="none" w:sz="0" w:space="0" w:color="auto"/>
            <w:left w:val="none" w:sz="0" w:space="0" w:color="auto"/>
            <w:bottom w:val="none" w:sz="0" w:space="0" w:color="auto"/>
            <w:right w:val="none" w:sz="0" w:space="0" w:color="auto"/>
          </w:divBdr>
        </w:div>
      </w:divsChild>
    </w:div>
    <w:div w:id="475225309">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7789192">
      <w:bodyDiv w:val="1"/>
      <w:marLeft w:val="0"/>
      <w:marRight w:val="0"/>
      <w:marTop w:val="0"/>
      <w:marBottom w:val="0"/>
      <w:divBdr>
        <w:top w:val="none" w:sz="0" w:space="0" w:color="auto"/>
        <w:left w:val="none" w:sz="0" w:space="0" w:color="auto"/>
        <w:bottom w:val="none" w:sz="0" w:space="0" w:color="auto"/>
        <w:right w:val="none" w:sz="0" w:space="0" w:color="auto"/>
      </w:divBdr>
    </w:div>
    <w:div w:id="493570369">
      <w:bodyDiv w:val="1"/>
      <w:marLeft w:val="0"/>
      <w:marRight w:val="0"/>
      <w:marTop w:val="0"/>
      <w:marBottom w:val="0"/>
      <w:divBdr>
        <w:top w:val="none" w:sz="0" w:space="0" w:color="auto"/>
        <w:left w:val="none" w:sz="0" w:space="0" w:color="auto"/>
        <w:bottom w:val="none" w:sz="0" w:space="0" w:color="auto"/>
        <w:right w:val="none" w:sz="0" w:space="0" w:color="auto"/>
      </w:divBdr>
    </w:div>
    <w:div w:id="494146571">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495919034">
      <w:bodyDiv w:val="1"/>
      <w:marLeft w:val="0"/>
      <w:marRight w:val="0"/>
      <w:marTop w:val="0"/>
      <w:marBottom w:val="0"/>
      <w:divBdr>
        <w:top w:val="none" w:sz="0" w:space="0" w:color="auto"/>
        <w:left w:val="none" w:sz="0" w:space="0" w:color="auto"/>
        <w:bottom w:val="none" w:sz="0" w:space="0" w:color="auto"/>
        <w:right w:val="none" w:sz="0" w:space="0" w:color="auto"/>
      </w:divBdr>
    </w:div>
    <w:div w:id="502817552">
      <w:bodyDiv w:val="1"/>
      <w:marLeft w:val="0"/>
      <w:marRight w:val="0"/>
      <w:marTop w:val="0"/>
      <w:marBottom w:val="0"/>
      <w:divBdr>
        <w:top w:val="none" w:sz="0" w:space="0" w:color="auto"/>
        <w:left w:val="none" w:sz="0" w:space="0" w:color="auto"/>
        <w:bottom w:val="none" w:sz="0" w:space="0" w:color="auto"/>
        <w:right w:val="none" w:sz="0" w:space="0" w:color="auto"/>
      </w:divBdr>
    </w:div>
    <w:div w:id="503134870">
      <w:bodyDiv w:val="1"/>
      <w:marLeft w:val="0"/>
      <w:marRight w:val="0"/>
      <w:marTop w:val="0"/>
      <w:marBottom w:val="0"/>
      <w:divBdr>
        <w:top w:val="none" w:sz="0" w:space="0" w:color="auto"/>
        <w:left w:val="none" w:sz="0" w:space="0" w:color="auto"/>
        <w:bottom w:val="none" w:sz="0" w:space="0" w:color="auto"/>
        <w:right w:val="none" w:sz="0" w:space="0" w:color="auto"/>
      </w:divBdr>
    </w:div>
    <w:div w:id="508759308">
      <w:bodyDiv w:val="1"/>
      <w:marLeft w:val="0"/>
      <w:marRight w:val="0"/>
      <w:marTop w:val="0"/>
      <w:marBottom w:val="0"/>
      <w:divBdr>
        <w:top w:val="none" w:sz="0" w:space="0" w:color="auto"/>
        <w:left w:val="none" w:sz="0" w:space="0" w:color="auto"/>
        <w:bottom w:val="none" w:sz="0" w:space="0" w:color="auto"/>
        <w:right w:val="none" w:sz="0" w:space="0" w:color="auto"/>
      </w:divBdr>
    </w:div>
    <w:div w:id="511919338">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13956758">
      <w:bodyDiv w:val="1"/>
      <w:marLeft w:val="0"/>
      <w:marRight w:val="0"/>
      <w:marTop w:val="0"/>
      <w:marBottom w:val="0"/>
      <w:divBdr>
        <w:top w:val="none" w:sz="0" w:space="0" w:color="auto"/>
        <w:left w:val="none" w:sz="0" w:space="0" w:color="auto"/>
        <w:bottom w:val="none" w:sz="0" w:space="0" w:color="auto"/>
        <w:right w:val="none" w:sz="0" w:space="0" w:color="auto"/>
      </w:divBdr>
    </w:div>
    <w:div w:id="517504767">
      <w:bodyDiv w:val="1"/>
      <w:marLeft w:val="0"/>
      <w:marRight w:val="0"/>
      <w:marTop w:val="0"/>
      <w:marBottom w:val="0"/>
      <w:divBdr>
        <w:top w:val="none" w:sz="0" w:space="0" w:color="auto"/>
        <w:left w:val="none" w:sz="0" w:space="0" w:color="auto"/>
        <w:bottom w:val="none" w:sz="0" w:space="0" w:color="auto"/>
        <w:right w:val="none" w:sz="0" w:space="0" w:color="auto"/>
      </w:divBdr>
      <w:divsChild>
        <w:div w:id="2116905151">
          <w:marLeft w:val="0"/>
          <w:marRight w:val="0"/>
          <w:marTop w:val="0"/>
          <w:marBottom w:val="0"/>
          <w:divBdr>
            <w:top w:val="none" w:sz="0" w:space="0" w:color="auto"/>
            <w:left w:val="none" w:sz="0" w:space="0" w:color="auto"/>
            <w:bottom w:val="none" w:sz="0" w:space="0" w:color="auto"/>
            <w:right w:val="none" w:sz="0" w:space="0" w:color="auto"/>
          </w:divBdr>
          <w:divsChild>
            <w:div w:id="204670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602076">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8955064">
      <w:bodyDiv w:val="1"/>
      <w:marLeft w:val="0"/>
      <w:marRight w:val="0"/>
      <w:marTop w:val="0"/>
      <w:marBottom w:val="0"/>
      <w:divBdr>
        <w:top w:val="none" w:sz="0" w:space="0" w:color="auto"/>
        <w:left w:val="none" w:sz="0" w:space="0" w:color="auto"/>
        <w:bottom w:val="none" w:sz="0" w:space="0" w:color="auto"/>
        <w:right w:val="none" w:sz="0" w:space="0" w:color="auto"/>
      </w:divBdr>
    </w:div>
    <w:div w:id="542063337">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3200887">
      <w:bodyDiv w:val="1"/>
      <w:marLeft w:val="0"/>
      <w:marRight w:val="0"/>
      <w:marTop w:val="0"/>
      <w:marBottom w:val="0"/>
      <w:divBdr>
        <w:top w:val="none" w:sz="0" w:space="0" w:color="auto"/>
        <w:left w:val="none" w:sz="0" w:space="0" w:color="auto"/>
        <w:bottom w:val="none" w:sz="0" w:space="0" w:color="auto"/>
        <w:right w:val="none" w:sz="0" w:space="0" w:color="auto"/>
      </w:divBdr>
    </w:div>
    <w:div w:id="573245404">
      <w:bodyDiv w:val="1"/>
      <w:marLeft w:val="0"/>
      <w:marRight w:val="0"/>
      <w:marTop w:val="0"/>
      <w:marBottom w:val="0"/>
      <w:divBdr>
        <w:top w:val="none" w:sz="0" w:space="0" w:color="auto"/>
        <w:left w:val="none" w:sz="0" w:space="0" w:color="auto"/>
        <w:bottom w:val="none" w:sz="0" w:space="0" w:color="auto"/>
        <w:right w:val="none" w:sz="0" w:space="0" w:color="auto"/>
      </w:divBdr>
    </w:div>
    <w:div w:id="582571505">
      <w:bodyDiv w:val="1"/>
      <w:marLeft w:val="0"/>
      <w:marRight w:val="0"/>
      <w:marTop w:val="0"/>
      <w:marBottom w:val="0"/>
      <w:divBdr>
        <w:top w:val="none" w:sz="0" w:space="0" w:color="auto"/>
        <w:left w:val="none" w:sz="0" w:space="0" w:color="auto"/>
        <w:bottom w:val="none" w:sz="0" w:space="0" w:color="auto"/>
        <w:right w:val="none" w:sz="0" w:space="0" w:color="auto"/>
      </w:divBdr>
    </w:div>
    <w:div w:id="589310897">
      <w:bodyDiv w:val="1"/>
      <w:marLeft w:val="0"/>
      <w:marRight w:val="0"/>
      <w:marTop w:val="0"/>
      <w:marBottom w:val="0"/>
      <w:divBdr>
        <w:top w:val="none" w:sz="0" w:space="0" w:color="auto"/>
        <w:left w:val="none" w:sz="0" w:space="0" w:color="auto"/>
        <w:bottom w:val="none" w:sz="0" w:space="0" w:color="auto"/>
        <w:right w:val="none" w:sz="0" w:space="0" w:color="auto"/>
      </w:divBdr>
    </w:div>
    <w:div w:id="594166792">
      <w:bodyDiv w:val="1"/>
      <w:marLeft w:val="0"/>
      <w:marRight w:val="0"/>
      <w:marTop w:val="0"/>
      <w:marBottom w:val="0"/>
      <w:divBdr>
        <w:top w:val="none" w:sz="0" w:space="0" w:color="auto"/>
        <w:left w:val="none" w:sz="0" w:space="0" w:color="auto"/>
        <w:bottom w:val="none" w:sz="0" w:space="0" w:color="auto"/>
        <w:right w:val="none" w:sz="0" w:space="0" w:color="auto"/>
      </w:divBdr>
    </w:div>
    <w:div w:id="598951306">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09778994">
      <w:bodyDiv w:val="1"/>
      <w:marLeft w:val="0"/>
      <w:marRight w:val="0"/>
      <w:marTop w:val="0"/>
      <w:marBottom w:val="0"/>
      <w:divBdr>
        <w:top w:val="none" w:sz="0" w:space="0" w:color="auto"/>
        <w:left w:val="none" w:sz="0" w:space="0" w:color="auto"/>
        <w:bottom w:val="none" w:sz="0" w:space="0" w:color="auto"/>
        <w:right w:val="none" w:sz="0" w:space="0" w:color="auto"/>
      </w:divBdr>
    </w:div>
    <w:div w:id="613829340">
      <w:bodyDiv w:val="1"/>
      <w:marLeft w:val="0"/>
      <w:marRight w:val="0"/>
      <w:marTop w:val="0"/>
      <w:marBottom w:val="0"/>
      <w:divBdr>
        <w:top w:val="none" w:sz="0" w:space="0" w:color="auto"/>
        <w:left w:val="none" w:sz="0" w:space="0" w:color="auto"/>
        <w:bottom w:val="none" w:sz="0" w:space="0" w:color="auto"/>
        <w:right w:val="none" w:sz="0" w:space="0" w:color="auto"/>
      </w:divBdr>
    </w:div>
    <w:div w:id="615521023">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384373">
      <w:bodyDiv w:val="1"/>
      <w:marLeft w:val="0"/>
      <w:marRight w:val="0"/>
      <w:marTop w:val="0"/>
      <w:marBottom w:val="0"/>
      <w:divBdr>
        <w:top w:val="none" w:sz="0" w:space="0" w:color="auto"/>
        <w:left w:val="none" w:sz="0" w:space="0" w:color="auto"/>
        <w:bottom w:val="none" w:sz="0" w:space="0" w:color="auto"/>
        <w:right w:val="none" w:sz="0" w:space="0" w:color="auto"/>
      </w:divBdr>
    </w:div>
    <w:div w:id="626816244">
      <w:bodyDiv w:val="1"/>
      <w:marLeft w:val="0"/>
      <w:marRight w:val="0"/>
      <w:marTop w:val="0"/>
      <w:marBottom w:val="0"/>
      <w:divBdr>
        <w:top w:val="none" w:sz="0" w:space="0" w:color="auto"/>
        <w:left w:val="none" w:sz="0" w:space="0" w:color="auto"/>
        <w:bottom w:val="none" w:sz="0" w:space="0" w:color="auto"/>
        <w:right w:val="none" w:sz="0" w:space="0" w:color="auto"/>
      </w:divBdr>
    </w:div>
    <w:div w:id="630014223">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49990578">
      <w:bodyDiv w:val="1"/>
      <w:marLeft w:val="0"/>
      <w:marRight w:val="0"/>
      <w:marTop w:val="0"/>
      <w:marBottom w:val="0"/>
      <w:divBdr>
        <w:top w:val="none" w:sz="0" w:space="0" w:color="auto"/>
        <w:left w:val="none" w:sz="0" w:space="0" w:color="auto"/>
        <w:bottom w:val="none" w:sz="0" w:space="0" w:color="auto"/>
        <w:right w:val="none" w:sz="0" w:space="0" w:color="auto"/>
      </w:divBdr>
      <w:divsChild>
        <w:div w:id="154997079">
          <w:marLeft w:val="0"/>
          <w:marRight w:val="0"/>
          <w:marTop w:val="0"/>
          <w:marBottom w:val="0"/>
          <w:divBdr>
            <w:top w:val="none" w:sz="0" w:space="0" w:color="auto"/>
            <w:left w:val="none" w:sz="0" w:space="0" w:color="auto"/>
            <w:bottom w:val="none" w:sz="0" w:space="0" w:color="auto"/>
            <w:right w:val="none" w:sz="0" w:space="0" w:color="auto"/>
          </w:divBdr>
        </w:div>
        <w:div w:id="1137257125">
          <w:marLeft w:val="0"/>
          <w:marRight w:val="0"/>
          <w:marTop w:val="0"/>
          <w:marBottom w:val="0"/>
          <w:divBdr>
            <w:top w:val="none" w:sz="0" w:space="0" w:color="auto"/>
            <w:left w:val="none" w:sz="0" w:space="0" w:color="auto"/>
            <w:bottom w:val="none" w:sz="0" w:space="0" w:color="auto"/>
            <w:right w:val="none" w:sz="0" w:space="0" w:color="auto"/>
          </w:divBdr>
        </w:div>
        <w:div w:id="126166607">
          <w:marLeft w:val="0"/>
          <w:marRight w:val="0"/>
          <w:marTop w:val="0"/>
          <w:marBottom w:val="0"/>
          <w:divBdr>
            <w:top w:val="none" w:sz="0" w:space="0" w:color="auto"/>
            <w:left w:val="none" w:sz="0" w:space="0" w:color="auto"/>
            <w:bottom w:val="none" w:sz="0" w:space="0" w:color="auto"/>
            <w:right w:val="none" w:sz="0" w:space="0" w:color="auto"/>
          </w:divBdr>
        </w:div>
      </w:divsChild>
    </w:div>
    <w:div w:id="651326254">
      <w:bodyDiv w:val="1"/>
      <w:marLeft w:val="0"/>
      <w:marRight w:val="0"/>
      <w:marTop w:val="0"/>
      <w:marBottom w:val="0"/>
      <w:divBdr>
        <w:top w:val="none" w:sz="0" w:space="0" w:color="auto"/>
        <w:left w:val="none" w:sz="0" w:space="0" w:color="auto"/>
        <w:bottom w:val="none" w:sz="0" w:space="0" w:color="auto"/>
        <w:right w:val="none" w:sz="0" w:space="0" w:color="auto"/>
      </w:divBdr>
    </w:div>
    <w:div w:id="655188176">
      <w:bodyDiv w:val="1"/>
      <w:marLeft w:val="0"/>
      <w:marRight w:val="0"/>
      <w:marTop w:val="0"/>
      <w:marBottom w:val="0"/>
      <w:divBdr>
        <w:top w:val="none" w:sz="0" w:space="0" w:color="auto"/>
        <w:left w:val="none" w:sz="0" w:space="0" w:color="auto"/>
        <w:bottom w:val="none" w:sz="0" w:space="0" w:color="auto"/>
        <w:right w:val="none" w:sz="0" w:space="0" w:color="auto"/>
      </w:divBdr>
    </w:div>
    <w:div w:id="657154606">
      <w:bodyDiv w:val="1"/>
      <w:marLeft w:val="0"/>
      <w:marRight w:val="0"/>
      <w:marTop w:val="0"/>
      <w:marBottom w:val="0"/>
      <w:divBdr>
        <w:top w:val="none" w:sz="0" w:space="0" w:color="auto"/>
        <w:left w:val="none" w:sz="0" w:space="0" w:color="auto"/>
        <w:bottom w:val="none" w:sz="0" w:space="0" w:color="auto"/>
        <w:right w:val="none" w:sz="0" w:space="0" w:color="auto"/>
      </w:divBdr>
    </w:div>
    <w:div w:id="664868666">
      <w:bodyDiv w:val="1"/>
      <w:marLeft w:val="0"/>
      <w:marRight w:val="0"/>
      <w:marTop w:val="0"/>
      <w:marBottom w:val="0"/>
      <w:divBdr>
        <w:top w:val="none" w:sz="0" w:space="0" w:color="auto"/>
        <w:left w:val="none" w:sz="0" w:space="0" w:color="auto"/>
        <w:bottom w:val="none" w:sz="0" w:space="0" w:color="auto"/>
        <w:right w:val="none" w:sz="0" w:space="0" w:color="auto"/>
      </w:divBdr>
    </w:div>
    <w:div w:id="666253673">
      <w:bodyDiv w:val="1"/>
      <w:marLeft w:val="0"/>
      <w:marRight w:val="0"/>
      <w:marTop w:val="0"/>
      <w:marBottom w:val="0"/>
      <w:divBdr>
        <w:top w:val="none" w:sz="0" w:space="0" w:color="auto"/>
        <w:left w:val="none" w:sz="0" w:space="0" w:color="auto"/>
        <w:bottom w:val="none" w:sz="0" w:space="0" w:color="auto"/>
        <w:right w:val="none" w:sz="0" w:space="0" w:color="auto"/>
      </w:divBdr>
    </w:div>
    <w:div w:id="672222145">
      <w:bodyDiv w:val="1"/>
      <w:marLeft w:val="0"/>
      <w:marRight w:val="0"/>
      <w:marTop w:val="0"/>
      <w:marBottom w:val="0"/>
      <w:divBdr>
        <w:top w:val="none" w:sz="0" w:space="0" w:color="auto"/>
        <w:left w:val="none" w:sz="0" w:space="0" w:color="auto"/>
        <w:bottom w:val="none" w:sz="0" w:space="0" w:color="auto"/>
        <w:right w:val="none" w:sz="0" w:space="0" w:color="auto"/>
      </w:divBdr>
    </w:div>
    <w:div w:id="672948828">
      <w:bodyDiv w:val="1"/>
      <w:marLeft w:val="0"/>
      <w:marRight w:val="0"/>
      <w:marTop w:val="0"/>
      <w:marBottom w:val="0"/>
      <w:divBdr>
        <w:top w:val="none" w:sz="0" w:space="0" w:color="auto"/>
        <w:left w:val="none" w:sz="0" w:space="0" w:color="auto"/>
        <w:bottom w:val="none" w:sz="0" w:space="0" w:color="auto"/>
        <w:right w:val="none" w:sz="0" w:space="0" w:color="auto"/>
      </w:divBdr>
    </w:div>
    <w:div w:id="673532354">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7296818">
      <w:bodyDiv w:val="1"/>
      <w:marLeft w:val="0"/>
      <w:marRight w:val="0"/>
      <w:marTop w:val="0"/>
      <w:marBottom w:val="0"/>
      <w:divBdr>
        <w:top w:val="none" w:sz="0" w:space="0" w:color="auto"/>
        <w:left w:val="none" w:sz="0" w:space="0" w:color="auto"/>
        <w:bottom w:val="none" w:sz="0" w:space="0" w:color="auto"/>
        <w:right w:val="none" w:sz="0" w:space="0" w:color="auto"/>
      </w:divBdr>
    </w:div>
    <w:div w:id="689647277">
      <w:bodyDiv w:val="1"/>
      <w:marLeft w:val="0"/>
      <w:marRight w:val="0"/>
      <w:marTop w:val="0"/>
      <w:marBottom w:val="0"/>
      <w:divBdr>
        <w:top w:val="none" w:sz="0" w:space="0" w:color="auto"/>
        <w:left w:val="none" w:sz="0" w:space="0" w:color="auto"/>
        <w:bottom w:val="none" w:sz="0" w:space="0" w:color="auto"/>
        <w:right w:val="none" w:sz="0" w:space="0" w:color="auto"/>
      </w:divBdr>
      <w:divsChild>
        <w:div w:id="193542727">
          <w:marLeft w:val="0"/>
          <w:marRight w:val="0"/>
          <w:marTop w:val="0"/>
          <w:marBottom w:val="0"/>
          <w:divBdr>
            <w:top w:val="none" w:sz="0" w:space="0" w:color="auto"/>
            <w:left w:val="none" w:sz="0" w:space="0" w:color="auto"/>
            <w:bottom w:val="none" w:sz="0" w:space="0" w:color="auto"/>
            <w:right w:val="none" w:sz="0" w:space="0" w:color="auto"/>
          </w:divBdr>
        </w:div>
        <w:div w:id="1556889412">
          <w:marLeft w:val="0"/>
          <w:marRight w:val="0"/>
          <w:marTop w:val="0"/>
          <w:marBottom w:val="0"/>
          <w:divBdr>
            <w:top w:val="none" w:sz="0" w:space="0" w:color="auto"/>
            <w:left w:val="none" w:sz="0" w:space="0" w:color="auto"/>
            <w:bottom w:val="none" w:sz="0" w:space="0" w:color="auto"/>
            <w:right w:val="none" w:sz="0" w:space="0" w:color="auto"/>
          </w:divBdr>
        </w:div>
      </w:divsChild>
    </w:div>
    <w:div w:id="692611262">
      <w:bodyDiv w:val="1"/>
      <w:marLeft w:val="0"/>
      <w:marRight w:val="0"/>
      <w:marTop w:val="0"/>
      <w:marBottom w:val="0"/>
      <w:divBdr>
        <w:top w:val="none" w:sz="0" w:space="0" w:color="auto"/>
        <w:left w:val="none" w:sz="0" w:space="0" w:color="auto"/>
        <w:bottom w:val="none" w:sz="0" w:space="0" w:color="auto"/>
        <w:right w:val="none" w:sz="0" w:space="0" w:color="auto"/>
      </w:divBdr>
      <w:divsChild>
        <w:div w:id="1882016707">
          <w:marLeft w:val="0"/>
          <w:marRight w:val="0"/>
          <w:marTop w:val="0"/>
          <w:marBottom w:val="0"/>
          <w:divBdr>
            <w:top w:val="none" w:sz="0" w:space="0" w:color="auto"/>
            <w:left w:val="none" w:sz="0" w:space="0" w:color="auto"/>
            <w:bottom w:val="none" w:sz="0" w:space="0" w:color="auto"/>
            <w:right w:val="none" w:sz="0" w:space="0" w:color="auto"/>
          </w:divBdr>
        </w:div>
      </w:divsChild>
    </w:div>
    <w:div w:id="699865034">
      <w:bodyDiv w:val="1"/>
      <w:marLeft w:val="0"/>
      <w:marRight w:val="0"/>
      <w:marTop w:val="0"/>
      <w:marBottom w:val="0"/>
      <w:divBdr>
        <w:top w:val="none" w:sz="0" w:space="0" w:color="auto"/>
        <w:left w:val="none" w:sz="0" w:space="0" w:color="auto"/>
        <w:bottom w:val="none" w:sz="0" w:space="0" w:color="auto"/>
        <w:right w:val="none" w:sz="0" w:space="0" w:color="auto"/>
      </w:divBdr>
    </w:div>
    <w:div w:id="700546514">
      <w:bodyDiv w:val="1"/>
      <w:marLeft w:val="0"/>
      <w:marRight w:val="0"/>
      <w:marTop w:val="0"/>
      <w:marBottom w:val="0"/>
      <w:divBdr>
        <w:top w:val="none" w:sz="0" w:space="0" w:color="auto"/>
        <w:left w:val="none" w:sz="0" w:space="0" w:color="auto"/>
        <w:bottom w:val="none" w:sz="0" w:space="0" w:color="auto"/>
        <w:right w:val="none" w:sz="0" w:space="0" w:color="auto"/>
      </w:divBdr>
    </w:div>
    <w:div w:id="702636870">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0761658">
      <w:bodyDiv w:val="1"/>
      <w:marLeft w:val="0"/>
      <w:marRight w:val="0"/>
      <w:marTop w:val="0"/>
      <w:marBottom w:val="0"/>
      <w:divBdr>
        <w:top w:val="none" w:sz="0" w:space="0" w:color="auto"/>
        <w:left w:val="none" w:sz="0" w:space="0" w:color="auto"/>
        <w:bottom w:val="none" w:sz="0" w:space="0" w:color="auto"/>
        <w:right w:val="none" w:sz="0" w:space="0" w:color="auto"/>
      </w:divBdr>
    </w:div>
    <w:div w:id="711154516">
      <w:bodyDiv w:val="1"/>
      <w:marLeft w:val="0"/>
      <w:marRight w:val="0"/>
      <w:marTop w:val="0"/>
      <w:marBottom w:val="0"/>
      <w:divBdr>
        <w:top w:val="none" w:sz="0" w:space="0" w:color="auto"/>
        <w:left w:val="none" w:sz="0" w:space="0" w:color="auto"/>
        <w:bottom w:val="none" w:sz="0" w:space="0" w:color="auto"/>
        <w:right w:val="none" w:sz="0" w:space="0" w:color="auto"/>
      </w:divBdr>
      <w:divsChild>
        <w:div w:id="2042976468">
          <w:marLeft w:val="0"/>
          <w:marRight w:val="0"/>
          <w:marTop w:val="0"/>
          <w:marBottom w:val="0"/>
          <w:divBdr>
            <w:top w:val="none" w:sz="0" w:space="0" w:color="auto"/>
            <w:left w:val="none" w:sz="0" w:space="0" w:color="auto"/>
            <w:bottom w:val="none" w:sz="0" w:space="0" w:color="auto"/>
            <w:right w:val="none" w:sz="0" w:space="0" w:color="auto"/>
          </w:divBdr>
          <w:divsChild>
            <w:div w:id="1993411611">
              <w:marLeft w:val="0"/>
              <w:marRight w:val="0"/>
              <w:marTop w:val="0"/>
              <w:marBottom w:val="0"/>
              <w:divBdr>
                <w:top w:val="none" w:sz="0" w:space="0" w:color="auto"/>
                <w:left w:val="none" w:sz="0" w:space="0" w:color="auto"/>
                <w:bottom w:val="none" w:sz="0" w:space="0" w:color="auto"/>
                <w:right w:val="none" w:sz="0" w:space="0" w:color="auto"/>
              </w:divBdr>
              <w:divsChild>
                <w:div w:id="73746193">
                  <w:marLeft w:val="600"/>
                  <w:marRight w:val="600"/>
                  <w:marTop w:val="0"/>
                  <w:marBottom w:val="0"/>
                  <w:divBdr>
                    <w:top w:val="none" w:sz="0" w:space="0" w:color="auto"/>
                    <w:left w:val="none" w:sz="0" w:space="0" w:color="auto"/>
                    <w:bottom w:val="none" w:sz="0" w:space="0" w:color="auto"/>
                    <w:right w:val="none" w:sz="0" w:space="0" w:color="auto"/>
                  </w:divBdr>
                  <w:divsChild>
                    <w:div w:id="864440539">
                      <w:marLeft w:val="0"/>
                      <w:marRight w:val="0"/>
                      <w:marTop w:val="0"/>
                      <w:marBottom w:val="0"/>
                      <w:divBdr>
                        <w:top w:val="none" w:sz="0" w:space="0" w:color="auto"/>
                        <w:left w:val="none" w:sz="0" w:space="0" w:color="auto"/>
                        <w:bottom w:val="none" w:sz="0" w:space="0" w:color="auto"/>
                        <w:right w:val="none" w:sz="0" w:space="0" w:color="auto"/>
                      </w:divBdr>
                      <w:divsChild>
                        <w:div w:id="1695577701">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595348">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5590585">
      <w:bodyDiv w:val="1"/>
      <w:marLeft w:val="0"/>
      <w:marRight w:val="0"/>
      <w:marTop w:val="0"/>
      <w:marBottom w:val="0"/>
      <w:divBdr>
        <w:top w:val="none" w:sz="0" w:space="0" w:color="auto"/>
        <w:left w:val="none" w:sz="0" w:space="0" w:color="auto"/>
        <w:bottom w:val="none" w:sz="0" w:space="0" w:color="auto"/>
        <w:right w:val="none" w:sz="0" w:space="0" w:color="auto"/>
      </w:divBdr>
    </w:div>
    <w:div w:id="736827649">
      <w:bodyDiv w:val="1"/>
      <w:marLeft w:val="0"/>
      <w:marRight w:val="0"/>
      <w:marTop w:val="0"/>
      <w:marBottom w:val="0"/>
      <w:divBdr>
        <w:top w:val="none" w:sz="0" w:space="0" w:color="auto"/>
        <w:left w:val="none" w:sz="0" w:space="0" w:color="auto"/>
        <w:bottom w:val="none" w:sz="0" w:space="0" w:color="auto"/>
        <w:right w:val="none" w:sz="0" w:space="0" w:color="auto"/>
      </w:divBdr>
      <w:divsChild>
        <w:div w:id="502161341">
          <w:marLeft w:val="0"/>
          <w:marRight w:val="0"/>
          <w:marTop w:val="0"/>
          <w:marBottom w:val="0"/>
          <w:divBdr>
            <w:top w:val="none" w:sz="0" w:space="0" w:color="auto"/>
            <w:left w:val="none" w:sz="0" w:space="0" w:color="auto"/>
            <w:bottom w:val="none" w:sz="0" w:space="0" w:color="auto"/>
            <w:right w:val="none" w:sz="0" w:space="0" w:color="auto"/>
          </w:divBdr>
          <w:divsChild>
            <w:div w:id="24858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216355">
      <w:bodyDiv w:val="1"/>
      <w:marLeft w:val="0"/>
      <w:marRight w:val="0"/>
      <w:marTop w:val="0"/>
      <w:marBottom w:val="0"/>
      <w:divBdr>
        <w:top w:val="none" w:sz="0" w:space="0" w:color="auto"/>
        <w:left w:val="none" w:sz="0" w:space="0" w:color="auto"/>
        <w:bottom w:val="none" w:sz="0" w:space="0" w:color="auto"/>
        <w:right w:val="none" w:sz="0" w:space="0" w:color="auto"/>
      </w:divBdr>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57138445">
      <w:bodyDiv w:val="1"/>
      <w:marLeft w:val="0"/>
      <w:marRight w:val="0"/>
      <w:marTop w:val="0"/>
      <w:marBottom w:val="0"/>
      <w:divBdr>
        <w:top w:val="none" w:sz="0" w:space="0" w:color="auto"/>
        <w:left w:val="none" w:sz="0" w:space="0" w:color="auto"/>
        <w:bottom w:val="none" w:sz="0" w:space="0" w:color="auto"/>
        <w:right w:val="none" w:sz="0" w:space="0" w:color="auto"/>
      </w:divBdr>
    </w:div>
    <w:div w:id="759301231">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1321081">
      <w:bodyDiv w:val="1"/>
      <w:marLeft w:val="0"/>
      <w:marRight w:val="0"/>
      <w:marTop w:val="0"/>
      <w:marBottom w:val="0"/>
      <w:divBdr>
        <w:top w:val="none" w:sz="0" w:space="0" w:color="auto"/>
        <w:left w:val="none" w:sz="0" w:space="0" w:color="auto"/>
        <w:bottom w:val="none" w:sz="0" w:space="0" w:color="auto"/>
        <w:right w:val="none" w:sz="0" w:space="0" w:color="auto"/>
      </w:divBdr>
    </w:div>
    <w:div w:id="779493483">
      <w:bodyDiv w:val="1"/>
      <w:marLeft w:val="0"/>
      <w:marRight w:val="0"/>
      <w:marTop w:val="0"/>
      <w:marBottom w:val="0"/>
      <w:divBdr>
        <w:top w:val="none" w:sz="0" w:space="0" w:color="auto"/>
        <w:left w:val="none" w:sz="0" w:space="0" w:color="auto"/>
        <w:bottom w:val="none" w:sz="0" w:space="0" w:color="auto"/>
        <w:right w:val="none" w:sz="0" w:space="0" w:color="auto"/>
      </w:divBdr>
      <w:divsChild>
        <w:div w:id="1116947280">
          <w:marLeft w:val="0"/>
          <w:marRight w:val="0"/>
          <w:marTop w:val="0"/>
          <w:marBottom w:val="0"/>
          <w:divBdr>
            <w:top w:val="none" w:sz="0" w:space="0" w:color="auto"/>
            <w:left w:val="none" w:sz="0" w:space="0" w:color="auto"/>
            <w:bottom w:val="none" w:sz="0" w:space="0" w:color="auto"/>
            <w:right w:val="none" w:sz="0" w:space="0" w:color="auto"/>
          </w:divBdr>
        </w:div>
        <w:div w:id="1752241090">
          <w:marLeft w:val="0"/>
          <w:marRight w:val="0"/>
          <w:marTop w:val="0"/>
          <w:marBottom w:val="0"/>
          <w:divBdr>
            <w:top w:val="none" w:sz="0" w:space="0" w:color="auto"/>
            <w:left w:val="none" w:sz="0" w:space="0" w:color="auto"/>
            <w:bottom w:val="none" w:sz="0" w:space="0" w:color="auto"/>
            <w:right w:val="none" w:sz="0" w:space="0" w:color="auto"/>
          </w:divBdr>
        </w:div>
        <w:div w:id="2031057029">
          <w:marLeft w:val="0"/>
          <w:marRight w:val="0"/>
          <w:marTop w:val="0"/>
          <w:marBottom w:val="0"/>
          <w:divBdr>
            <w:top w:val="none" w:sz="0" w:space="0" w:color="auto"/>
            <w:left w:val="none" w:sz="0" w:space="0" w:color="auto"/>
            <w:bottom w:val="none" w:sz="0" w:space="0" w:color="auto"/>
            <w:right w:val="none" w:sz="0" w:space="0" w:color="auto"/>
          </w:divBdr>
        </w:div>
      </w:divsChild>
    </w:div>
    <w:div w:id="799492255">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7186704">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27986389">
      <w:bodyDiv w:val="1"/>
      <w:marLeft w:val="0"/>
      <w:marRight w:val="0"/>
      <w:marTop w:val="0"/>
      <w:marBottom w:val="0"/>
      <w:divBdr>
        <w:top w:val="none" w:sz="0" w:space="0" w:color="auto"/>
        <w:left w:val="none" w:sz="0" w:space="0" w:color="auto"/>
        <w:bottom w:val="none" w:sz="0" w:space="0" w:color="auto"/>
        <w:right w:val="none" w:sz="0" w:space="0" w:color="auto"/>
      </w:divBdr>
    </w:div>
    <w:div w:id="836729708">
      <w:bodyDiv w:val="1"/>
      <w:marLeft w:val="0"/>
      <w:marRight w:val="0"/>
      <w:marTop w:val="0"/>
      <w:marBottom w:val="0"/>
      <w:divBdr>
        <w:top w:val="none" w:sz="0" w:space="0" w:color="auto"/>
        <w:left w:val="none" w:sz="0" w:space="0" w:color="auto"/>
        <w:bottom w:val="none" w:sz="0" w:space="0" w:color="auto"/>
        <w:right w:val="none" w:sz="0" w:space="0" w:color="auto"/>
      </w:divBdr>
    </w:div>
    <w:div w:id="847451380">
      <w:bodyDiv w:val="1"/>
      <w:marLeft w:val="0"/>
      <w:marRight w:val="0"/>
      <w:marTop w:val="0"/>
      <w:marBottom w:val="0"/>
      <w:divBdr>
        <w:top w:val="none" w:sz="0" w:space="0" w:color="auto"/>
        <w:left w:val="none" w:sz="0" w:space="0" w:color="auto"/>
        <w:bottom w:val="none" w:sz="0" w:space="0" w:color="auto"/>
        <w:right w:val="none" w:sz="0" w:space="0" w:color="auto"/>
      </w:divBdr>
    </w:div>
    <w:div w:id="848759701">
      <w:bodyDiv w:val="1"/>
      <w:marLeft w:val="0"/>
      <w:marRight w:val="0"/>
      <w:marTop w:val="0"/>
      <w:marBottom w:val="0"/>
      <w:divBdr>
        <w:top w:val="none" w:sz="0" w:space="0" w:color="auto"/>
        <w:left w:val="none" w:sz="0" w:space="0" w:color="auto"/>
        <w:bottom w:val="none" w:sz="0" w:space="0" w:color="auto"/>
        <w:right w:val="none" w:sz="0" w:space="0" w:color="auto"/>
      </w:divBdr>
    </w:div>
    <w:div w:id="867565902">
      <w:bodyDiv w:val="1"/>
      <w:marLeft w:val="0"/>
      <w:marRight w:val="0"/>
      <w:marTop w:val="0"/>
      <w:marBottom w:val="0"/>
      <w:divBdr>
        <w:top w:val="none" w:sz="0" w:space="0" w:color="auto"/>
        <w:left w:val="none" w:sz="0" w:space="0" w:color="auto"/>
        <w:bottom w:val="none" w:sz="0" w:space="0" w:color="auto"/>
        <w:right w:val="none" w:sz="0" w:space="0" w:color="auto"/>
      </w:divBdr>
    </w:div>
    <w:div w:id="873426470">
      <w:bodyDiv w:val="1"/>
      <w:marLeft w:val="0"/>
      <w:marRight w:val="0"/>
      <w:marTop w:val="0"/>
      <w:marBottom w:val="0"/>
      <w:divBdr>
        <w:top w:val="none" w:sz="0" w:space="0" w:color="auto"/>
        <w:left w:val="none" w:sz="0" w:space="0" w:color="auto"/>
        <w:bottom w:val="none" w:sz="0" w:space="0" w:color="auto"/>
        <w:right w:val="none" w:sz="0" w:space="0" w:color="auto"/>
      </w:divBdr>
    </w:div>
    <w:div w:id="873929576">
      <w:bodyDiv w:val="1"/>
      <w:marLeft w:val="0"/>
      <w:marRight w:val="0"/>
      <w:marTop w:val="0"/>
      <w:marBottom w:val="0"/>
      <w:divBdr>
        <w:top w:val="none" w:sz="0" w:space="0" w:color="auto"/>
        <w:left w:val="none" w:sz="0" w:space="0" w:color="auto"/>
        <w:bottom w:val="none" w:sz="0" w:space="0" w:color="auto"/>
        <w:right w:val="none" w:sz="0" w:space="0" w:color="auto"/>
      </w:divBdr>
    </w:div>
    <w:div w:id="877551598">
      <w:bodyDiv w:val="1"/>
      <w:marLeft w:val="0"/>
      <w:marRight w:val="0"/>
      <w:marTop w:val="0"/>
      <w:marBottom w:val="0"/>
      <w:divBdr>
        <w:top w:val="none" w:sz="0" w:space="0" w:color="auto"/>
        <w:left w:val="none" w:sz="0" w:space="0" w:color="auto"/>
        <w:bottom w:val="none" w:sz="0" w:space="0" w:color="auto"/>
        <w:right w:val="none" w:sz="0" w:space="0" w:color="auto"/>
      </w:divBdr>
      <w:divsChild>
        <w:div w:id="184826601">
          <w:marLeft w:val="0"/>
          <w:marRight w:val="0"/>
          <w:marTop w:val="0"/>
          <w:marBottom w:val="0"/>
          <w:divBdr>
            <w:top w:val="none" w:sz="0" w:space="0" w:color="auto"/>
            <w:left w:val="none" w:sz="0" w:space="0" w:color="auto"/>
            <w:bottom w:val="single" w:sz="6" w:space="0" w:color="E6E6E6"/>
            <w:right w:val="none" w:sz="0" w:space="0" w:color="auto"/>
          </w:divBdr>
        </w:div>
      </w:divsChild>
    </w:div>
    <w:div w:id="87959063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7424495">
      <w:bodyDiv w:val="1"/>
      <w:marLeft w:val="0"/>
      <w:marRight w:val="0"/>
      <w:marTop w:val="0"/>
      <w:marBottom w:val="0"/>
      <w:divBdr>
        <w:top w:val="none" w:sz="0" w:space="0" w:color="auto"/>
        <w:left w:val="none" w:sz="0" w:space="0" w:color="auto"/>
        <w:bottom w:val="none" w:sz="0" w:space="0" w:color="auto"/>
        <w:right w:val="none" w:sz="0" w:space="0" w:color="auto"/>
      </w:divBdr>
      <w:divsChild>
        <w:div w:id="2047750616">
          <w:marLeft w:val="0"/>
          <w:marRight w:val="0"/>
          <w:marTop w:val="0"/>
          <w:marBottom w:val="0"/>
          <w:divBdr>
            <w:top w:val="none" w:sz="0" w:space="0" w:color="auto"/>
            <w:left w:val="none" w:sz="0" w:space="0" w:color="auto"/>
            <w:bottom w:val="none" w:sz="0" w:space="0" w:color="auto"/>
            <w:right w:val="none" w:sz="0" w:space="0" w:color="auto"/>
          </w:divBdr>
        </w:div>
        <w:div w:id="1307855548">
          <w:marLeft w:val="0"/>
          <w:marRight w:val="0"/>
          <w:marTop w:val="0"/>
          <w:marBottom w:val="0"/>
          <w:divBdr>
            <w:top w:val="none" w:sz="0" w:space="0" w:color="auto"/>
            <w:left w:val="none" w:sz="0" w:space="0" w:color="auto"/>
            <w:bottom w:val="none" w:sz="0" w:space="0" w:color="auto"/>
            <w:right w:val="none" w:sz="0" w:space="0" w:color="auto"/>
          </w:divBdr>
        </w:div>
      </w:divsChild>
    </w:div>
    <w:div w:id="909192272">
      <w:bodyDiv w:val="1"/>
      <w:marLeft w:val="0"/>
      <w:marRight w:val="0"/>
      <w:marTop w:val="0"/>
      <w:marBottom w:val="0"/>
      <w:divBdr>
        <w:top w:val="none" w:sz="0" w:space="0" w:color="auto"/>
        <w:left w:val="none" w:sz="0" w:space="0" w:color="auto"/>
        <w:bottom w:val="none" w:sz="0" w:space="0" w:color="auto"/>
        <w:right w:val="none" w:sz="0" w:space="0" w:color="auto"/>
      </w:divBdr>
    </w:div>
    <w:div w:id="913779937">
      <w:bodyDiv w:val="1"/>
      <w:marLeft w:val="0"/>
      <w:marRight w:val="0"/>
      <w:marTop w:val="0"/>
      <w:marBottom w:val="0"/>
      <w:divBdr>
        <w:top w:val="none" w:sz="0" w:space="0" w:color="auto"/>
        <w:left w:val="none" w:sz="0" w:space="0" w:color="auto"/>
        <w:bottom w:val="none" w:sz="0" w:space="0" w:color="auto"/>
        <w:right w:val="none" w:sz="0" w:space="0" w:color="auto"/>
      </w:divBdr>
    </w:div>
    <w:div w:id="913975005">
      <w:bodyDiv w:val="1"/>
      <w:marLeft w:val="0"/>
      <w:marRight w:val="0"/>
      <w:marTop w:val="0"/>
      <w:marBottom w:val="0"/>
      <w:divBdr>
        <w:top w:val="none" w:sz="0" w:space="0" w:color="auto"/>
        <w:left w:val="none" w:sz="0" w:space="0" w:color="auto"/>
        <w:bottom w:val="none" w:sz="0" w:space="0" w:color="auto"/>
        <w:right w:val="none" w:sz="0" w:space="0" w:color="auto"/>
      </w:divBdr>
    </w:div>
    <w:div w:id="921377187">
      <w:bodyDiv w:val="1"/>
      <w:marLeft w:val="0"/>
      <w:marRight w:val="0"/>
      <w:marTop w:val="0"/>
      <w:marBottom w:val="0"/>
      <w:divBdr>
        <w:top w:val="none" w:sz="0" w:space="0" w:color="auto"/>
        <w:left w:val="none" w:sz="0" w:space="0" w:color="auto"/>
        <w:bottom w:val="none" w:sz="0" w:space="0" w:color="auto"/>
        <w:right w:val="none" w:sz="0" w:space="0" w:color="auto"/>
      </w:divBdr>
    </w:div>
    <w:div w:id="921721212">
      <w:bodyDiv w:val="1"/>
      <w:marLeft w:val="0"/>
      <w:marRight w:val="0"/>
      <w:marTop w:val="0"/>
      <w:marBottom w:val="0"/>
      <w:divBdr>
        <w:top w:val="none" w:sz="0" w:space="0" w:color="auto"/>
        <w:left w:val="none" w:sz="0" w:space="0" w:color="auto"/>
        <w:bottom w:val="none" w:sz="0" w:space="0" w:color="auto"/>
        <w:right w:val="none" w:sz="0" w:space="0" w:color="auto"/>
      </w:divBdr>
    </w:div>
    <w:div w:id="923759120">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41766154">
      <w:bodyDiv w:val="1"/>
      <w:marLeft w:val="0"/>
      <w:marRight w:val="0"/>
      <w:marTop w:val="0"/>
      <w:marBottom w:val="0"/>
      <w:divBdr>
        <w:top w:val="none" w:sz="0" w:space="0" w:color="auto"/>
        <w:left w:val="none" w:sz="0" w:space="0" w:color="auto"/>
        <w:bottom w:val="none" w:sz="0" w:space="0" w:color="auto"/>
        <w:right w:val="none" w:sz="0" w:space="0" w:color="auto"/>
      </w:divBdr>
    </w:div>
    <w:div w:id="950284946">
      <w:bodyDiv w:val="1"/>
      <w:marLeft w:val="0"/>
      <w:marRight w:val="0"/>
      <w:marTop w:val="0"/>
      <w:marBottom w:val="0"/>
      <w:divBdr>
        <w:top w:val="none" w:sz="0" w:space="0" w:color="auto"/>
        <w:left w:val="none" w:sz="0" w:space="0" w:color="auto"/>
        <w:bottom w:val="none" w:sz="0" w:space="0" w:color="auto"/>
        <w:right w:val="none" w:sz="0" w:space="0" w:color="auto"/>
      </w:divBdr>
    </w:div>
    <w:div w:id="951940820">
      <w:bodyDiv w:val="1"/>
      <w:marLeft w:val="0"/>
      <w:marRight w:val="0"/>
      <w:marTop w:val="0"/>
      <w:marBottom w:val="0"/>
      <w:divBdr>
        <w:top w:val="none" w:sz="0" w:space="0" w:color="auto"/>
        <w:left w:val="none" w:sz="0" w:space="0" w:color="auto"/>
        <w:bottom w:val="none" w:sz="0" w:space="0" w:color="auto"/>
        <w:right w:val="none" w:sz="0" w:space="0" w:color="auto"/>
      </w:divBdr>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57177990">
      <w:bodyDiv w:val="1"/>
      <w:marLeft w:val="0"/>
      <w:marRight w:val="0"/>
      <w:marTop w:val="0"/>
      <w:marBottom w:val="0"/>
      <w:divBdr>
        <w:top w:val="none" w:sz="0" w:space="0" w:color="auto"/>
        <w:left w:val="none" w:sz="0" w:space="0" w:color="auto"/>
        <w:bottom w:val="none" w:sz="0" w:space="0" w:color="auto"/>
        <w:right w:val="none" w:sz="0" w:space="0" w:color="auto"/>
      </w:divBdr>
    </w:div>
    <w:div w:id="969820149">
      <w:bodyDiv w:val="1"/>
      <w:marLeft w:val="0"/>
      <w:marRight w:val="0"/>
      <w:marTop w:val="0"/>
      <w:marBottom w:val="0"/>
      <w:divBdr>
        <w:top w:val="none" w:sz="0" w:space="0" w:color="auto"/>
        <w:left w:val="none" w:sz="0" w:space="0" w:color="auto"/>
        <w:bottom w:val="none" w:sz="0" w:space="0" w:color="auto"/>
        <w:right w:val="none" w:sz="0" w:space="0" w:color="auto"/>
      </w:divBdr>
    </w:div>
    <w:div w:id="973482700">
      <w:bodyDiv w:val="1"/>
      <w:marLeft w:val="0"/>
      <w:marRight w:val="0"/>
      <w:marTop w:val="0"/>
      <w:marBottom w:val="0"/>
      <w:divBdr>
        <w:top w:val="none" w:sz="0" w:space="0" w:color="auto"/>
        <w:left w:val="none" w:sz="0" w:space="0" w:color="auto"/>
        <w:bottom w:val="none" w:sz="0" w:space="0" w:color="auto"/>
        <w:right w:val="none" w:sz="0" w:space="0" w:color="auto"/>
      </w:divBdr>
      <w:divsChild>
        <w:div w:id="384066932">
          <w:marLeft w:val="0"/>
          <w:marRight w:val="0"/>
          <w:marTop w:val="0"/>
          <w:marBottom w:val="0"/>
          <w:divBdr>
            <w:top w:val="none" w:sz="0" w:space="0" w:color="auto"/>
            <w:left w:val="none" w:sz="0" w:space="0" w:color="auto"/>
            <w:bottom w:val="none" w:sz="0" w:space="0" w:color="auto"/>
            <w:right w:val="none" w:sz="0" w:space="0" w:color="auto"/>
          </w:divBdr>
          <w:divsChild>
            <w:div w:id="20225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332701">
      <w:bodyDiv w:val="1"/>
      <w:marLeft w:val="0"/>
      <w:marRight w:val="0"/>
      <w:marTop w:val="0"/>
      <w:marBottom w:val="0"/>
      <w:divBdr>
        <w:top w:val="none" w:sz="0" w:space="0" w:color="auto"/>
        <w:left w:val="none" w:sz="0" w:space="0" w:color="auto"/>
        <w:bottom w:val="none" w:sz="0" w:space="0" w:color="auto"/>
        <w:right w:val="none" w:sz="0" w:space="0" w:color="auto"/>
      </w:divBdr>
    </w:div>
    <w:div w:id="980160849">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86520661">
      <w:bodyDiv w:val="1"/>
      <w:marLeft w:val="0"/>
      <w:marRight w:val="0"/>
      <w:marTop w:val="0"/>
      <w:marBottom w:val="0"/>
      <w:divBdr>
        <w:top w:val="none" w:sz="0" w:space="0" w:color="auto"/>
        <w:left w:val="none" w:sz="0" w:space="0" w:color="auto"/>
        <w:bottom w:val="none" w:sz="0" w:space="0" w:color="auto"/>
        <w:right w:val="none" w:sz="0" w:space="0" w:color="auto"/>
      </w:divBdr>
    </w:div>
    <w:div w:id="989753574">
      <w:bodyDiv w:val="1"/>
      <w:marLeft w:val="0"/>
      <w:marRight w:val="0"/>
      <w:marTop w:val="0"/>
      <w:marBottom w:val="0"/>
      <w:divBdr>
        <w:top w:val="none" w:sz="0" w:space="0" w:color="auto"/>
        <w:left w:val="none" w:sz="0" w:space="0" w:color="auto"/>
        <w:bottom w:val="none" w:sz="0" w:space="0" w:color="auto"/>
        <w:right w:val="none" w:sz="0" w:space="0" w:color="auto"/>
      </w:divBdr>
    </w:div>
    <w:div w:id="1005284989">
      <w:bodyDiv w:val="1"/>
      <w:marLeft w:val="0"/>
      <w:marRight w:val="0"/>
      <w:marTop w:val="0"/>
      <w:marBottom w:val="0"/>
      <w:divBdr>
        <w:top w:val="none" w:sz="0" w:space="0" w:color="auto"/>
        <w:left w:val="none" w:sz="0" w:space="0" w:color="auto"/>
        <w:bottom w:val="none" w:sz="0" w:space="0" w:color="auto"/>
        <w:right w:val="none" w:sz="0" w:space="0" w:color="auto"/>
      </w:divBdr>
    </w:div>
    <w:div w:id="1014382229">
      <w:bodyDiv w:val="1"/>
      <w:marLeft w:val="0"/>
      <w:marRight w:val="0"/>
      <w:marTop w:val="0"/>
      <w:marBottom w:val="0"/>
      <w:divBdr>
        <w:top w:val="none" w:sz="0" w:space="0" w:color="auto"/>
        <w:left w:val="none" w:sz="0" w:space="0" w:color="auto"/>
        <w:bottom w:val="none" w:sz="0" w:space="0" w:color="auto"/>
        <w:right w:val="none" w:sz="0" w:space="0" w:color="auto"/>
      </w:divBdr>
    </w:div>
    <w:div w:id="1014570693">
      <w:bodyDiv w:val="1"/>
      <w:marLeft w:val="0"/>
      <w:marRight w:val="0"/>
      <w:marTop w:val="0"/>
      <w:marBottom w:val="0"/>
      <w:divBdr>
        <w:top w:val="none" w:sz="0" w:space="0" w:color="auto"/>
        <w:left w:val="none" w:sz="0" w:space="0" w:color="auto"/>
        <w:bottom w:val="none" w:sz="0" w:space="0" w:color="auto"/>
        <w:right w:val="none" w:sz="0" w:space="0" w:color="auto"/>
      </w:divBdr>
      <w:divsChild>
        <w:div w:id="1516765">
          <w:marLeft w:val="0"/>
          <w:marRight w:val="0"/>
          <w:marTop w:val="0"/>
          <w:marBottom w:val="0"/>
          <w:divBdr>
            <w:top w:val="none" w:sz="0" w:space="0" w:color="auto"/>
            <w:left w:val="none" w:sz="0" w:space="0" w:color="auto"/>
            <w:bottom w:val="none" w:sz="0" w:space="0" w:color="auto"/>
            <w:right w:val="none" w:sz="0" w:space="0" w:color="auto"/>
          </w:divBdr>
          <w:divsChild>
            <w:div w:id="1033456168">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015109454">
      <w:bodyDiv w:val="1"/>
      <w:marLeft w:val="0"/>
      <w:marRight w:val="0"/>
      <w:marTop w:val="0"/>
      <w:marBottom w:val="0"/>
      <w:divBdr>
        <w:top w:val="none" w:sz="0" w:space="0" w:color="auto"/>
        <w:left w:val="none" w:sz="0" w:space="0" w:color="auto"/>
        <w:bottom w:val="none" w:sz="0" w:space="0" w:color="auto"/>
        <w:right w:val="none" w:sz="0" w:space="0" w:color="auto"/>
      </w:divBdr>
      <w:divsChild>
        <w:div w:id="445933561">
          <w:marLeft w:val="0"/>
          <w:marRight w:val="0"/>
          <w:marTop w:val="0"/>
          <w:marBottom w:val="0"/>
          <w:divBdr>
            <w:top w:val="none" w:sz="0" w:space="0" w:color="auto"/>
            <w:left w:val="none" w:sz="0" w:space="0" w:color="auto"/>
            <w:bottom w:val="none" w:sz="0" w:space="0" w:color="auto"/>
            <w:right w:val="none" w:sz="0" w:space="0" w:color="auto"/>
          </w:divBdr>
        </w:div>
        <w:div w:id="1763917266">
          <w:marLeft w:val="0"/>
          <w:marRight w:val="0"/>
          <w:marTop w:val="0"/>
          <w:marBottom w:val="0"/>
          <w:divBdr>
            <w:top w:val="none" w:sz="0" w:space="0" w:color="auto"/>
            <w:left w:val="none" w:sz="0" w:space="0" w:color="auto"/>
            <w:bottom w:val="none" w:sz="0" w:space="0" w:color="auto"/>
            <w:right w:val="none" w:sz="0" w:space="0" w:color="auto"/>
          </w:divBdr>
        </w:div>
      </w:divsChild>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5543222">
      <w:bodyDiv w:val="1"/>
      <w:marLeft w:val="0"/>
      <w:marRight w:val="0"/>
      <w:marTop w:val="0"/>
      <w:marBottom w:val="0"/>
      <w:divBdr>
        <w:top w:val="none" w:sz="0" w:space="0" w:color="auto"/>
        <w:left w:val="none" w:sz="0" w:space="0" w:color="auto"/>
        <w:bottom w:val="none" w:sz="0" w:space="0" w:color="auto"/>
        <w:right w:val="none" w:sz="0" w:space="0" w:color="auto"/>
      </w:divBdr>
    </w:div>
    <w:div w:id="1060448071">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0517864">
      <w:bodyDiv w:val="1"/>
      <w:marLeft w:val="0"/>
      <w:marRight w:val="0"/>
      <w:marTop w:val="0"/>
      <w:marBottom w:val="0"/>
      <w:divBdr>
        <w:top w:val="none" w:sz="0" w:space="0" w:color="auto"/>
        <w:left w:val="none" w:sz="0" w:space="0" w:color="auto"/>
        <w:bottom w:val="none" w:sz="0" w:space="0" w:color="auto"/>
        <w:right w:val="none" w:sz="0" w:space="0" w:color="auto"/>
      </w:divBdr>
    </w:div>
    <w:div w:id="1093434592">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9985269">
      <w:bodyDiv w:val="1"/>
      <w:marLeft w:val="0"/>
      <w:marRight w:val="0"/>
      <w:marTop w:val="0"/>
      <w:marBottom w:val="0"/>
      <w:divBdr>
        <w:top w:val="none" w:sz="0" w:space="0" w:color="auto"/>
        <w:left w:val="none" w:sz="0" w:space="0" w:color="auto"/>
        <w:bottom w:val="none" w:sz="0" w:space="0" w:color="auto"/>
        <w:right w:val="none" w:sz="0" w:space="0" w:color="auto"/>
      </w:divBdr>
      <w:divsChild>
        <w:div w:id="1056392934">
          <w:marLeft w:val="0"/>
          <w:marRight w:val="0"/>
          <w:marTop w:val="0"/>
          <w:marBottom w:val="30"/>
          <w:divBdr>
            <w:top w:val="none" w:sz="0" w:space="0" w:color="auto"/>
            <w:left w:val="none" w:sz="0" w:space="0" w:color="auto"/>
            <w:bottom w:val="none" w:sz="0" w:space="0" w:color="auto"/>
            <w:right w:val="none" w:sz="0" w:space="0" w:color="auto"/>
          </w:divBdr>
          <w:divsChild>
            <w:div w:id="184073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96450">
      <w:bodyDiv w:val="1"/>
      <w:marLeft w:val="0"/>
      <w:marRight w:val="0"/>
      <w:marTop w:val="0"/>
      <w:marBottom w:val="0"/>
      <w:divBdr>
        <w:top w:val="none" w:sz="0" w:space="0" w:color="auto"/>
        <w:left w:val="none" w:sz="0" w:space="0" w:color="auto"/>
        <w:bottom w:val="none" w:sz="0" w:space="0" w:color="auto"/>
        <w:right w:val="none" w:sz="0" w:space="0" w:color="auto"/>
      </w:divBdr>
    </w:div>
    <w:div w:id="1106267179">
      <w:bodyDiv w:val="1"/>
      <w:marLeft w:val="0"/>
      <w:marRight w:val="0"/>
      <w:marTop w:val="0"/>
      <w:marBottom w:val="0"/>
      <w:divBdr>
        <w:top w:val="none" w:sz="0" w:space="0" w:color="auto"/>
        <w:left w:val="none" w:sz="0" w:space="0" w:color="auto"/>
        <w:bottom w:val="none" w:sz="0" w:space="0" w:color="auto"/>
        <w:right w:val="none" w:sz="0" w:space="0" w:color="auto"/>
      </w:divBdr>
    </w:div>
    <w:div w:id="1118452371">
      <w:bodyDiv w:val="1"/>
      <w:marLeft w:val="0"/>
      <w:marRight w:val="0"/>
      <w:marTop w:val="0"/>
      <w:marBottom w:val="0"/>
      <w:divBdr>
        <w:top w:val="none" w:sz="0" w:space="0" w:color="auto"/>
        <w:left w:val="none" w:sz="0" w:space="0" w:color="auto"/>
        <w:bottom w:val="none" w:sz="0" w:space="0" w:color="auto"/>
        <w:right w:val="none" w:sz="0" w:space="0" w:color="auto"/>
      </w:divBdr>
    </w:div>
    <w:div w:id="1121606711">
      <w:bodyDiv w:val="1"/>
      <w:marLeft w:val="0"/>
      <w:marRight w:val="0"/>
      <w:marTop w:val="0"/>
      <w:marBottom w:val="0"/>
      <w:divBdr>
        <w:top w:val="none" w:sz="0" w:space="0" w:color="auto"/>
        <w:left w:val="none" w:sz="0" w:space="0" w:color="auto"/>
        <w:bottom w:val="none" w:sz="0" w:space="0" w:color="auto"/>
        <w:right w:val="none" w:sz="0" w:space="0" w:color="auto"/>
      </w:divBdr>
    </w:div>
    <w:div w:id="1122963775">
      <w:bodyDiv w:val="1"/>
      <w:marLeft w:val="0"/>
      <w:marRight w:val="0"/>
      <w:marTop w:val="0"/>
      <w:marBottom w:val="0"/>
      <w:divBdr>
        <w:top w:val="none" w:sz="0" w:space="0" w:color="auto"/>
        <w:left w:val="none" w:sz="0" w:space="0" w:color="auto"/>
        <w:bottom w:val="none" w:sz="0" w:space="0" w:color="auto"/>
        <w:right w:val="none" w:sz="0" w:space="0" w:color="auto"/>
      </w:divBdr>
    </w:div>
    <w:div w:id="1135291498">
      <w:bodyDiv w:val="1"/>
      <w:marLeft w:val="0"/>
      <w:marRight w:val="0"/>
      <w:marTop w:val="0"/>
      <w:marBottom w:val="0"/>
      <w:divBdr>
        <w:top w:val="none" w:sz="0" w:space="0" w:color="auto"/>
        <w:left w:val="none" w:sz="0" w:space="0" w:color="auto"/>
        <w:bottom w:val="none" w:sz="0" w:space="0" w:color="auto"/>
        <w:right w:val="none" w:sz="0" w:space="0" w:color="auto"/>
      </w:divBdr>
    </w:div>
    <w:div w:id="1138037513">
      <w:bodyDiv w:val="1"/>
      <w:marLeft w:val="0"/>
      <w:marRight w:val="0"/>
      <w:marTop w:val="0"/>
      <w:marBottom w:val="0"/>
      <w:divBdr>
        <w:top w:val="none" w:sz="0" w:space="0" w:color="auto"/>
        <w:left w:val="none" w:sz="0" w:space="0" w:color="auto"/>
        <w:bottom w:val="none" w:sz="0" w:space="0" w:color="auto"/>
        <w:right w:val="none" w:sz="0" w:space="0" w:color="auto"/>
      </w:divBdr>
    </w:div>
    <w:div w:id="1144741066">
      <w:bodyDiv w:val="1"/>
      <w:marLeft w:val="0"/>
      <w:marRight w:val="0"/>
      <w:marTop w:val="0"/>
      <w:marBottom w:val="0"/>
      <w:divBdr>
        <w:top w:val="none" w:sz="0" w:space="0" w:color="auto"/>
        <w:left w:val="none" w:sz="0" w:space="0" w:color="auto"/>
        <w:bottom w:val="none" w:sz="0" w:space="0" w:color="auto"/>
        <w:right w:val="none" w:sz="0" w:space="0" w:color="auto"/>
      </w:divBdr>
    </w:div>
    <w:div w:id="1153330127">
      <w:bodyDiv w:val="1"/>
      <w:marLeft w:val="0"/>
      <w:marRight w:val="0"/>
      <w:marTop w:val="0"/>
      <w:marBottom w:val="0"/>
      <w:divBdr>
        <w:top w:val="none" w:sz="0" w:space="0" w:color="auto"/>
        <w:left w:val="none" w:sz="0" w:space="0" w:color="auto"/>
        <w:bottom w:val="none" w:sz="0" w:space="0" w:color="auto"/>
        <w:right w:val="none" w:sz="0" w:space="0" w:color="auto"/>
      </w:divBdr>
    </w:div>
    <w:div w:id="1155532426">
      <w:bodyDiv w:val="1"/>
      <w:marLeft w:val="0"/>
      <w:marRight w:val="0"/>
      <w:marTop w:val="0"/>
      <w:marBottom w:val="0"/>
      <w:divBdr>
        <w:top w:val="none" w:sz="0" w:space="0" w:color="auto"/>
        <w:left w:val="none" w:sz="0" w:space="0" w:color="auto"/>
        <w:bottom w:val="none" w:sz="0" w:space="0" w:color="auto"/>
        <w:right w:val="none" w:sz="0" w:space="0" w:color="auto"/>
      </w:divBdr>
      <w:divsChild>
        <w:div w:id="394665109">
          <w:marLeft w:val="0"/>
          <w:marRight w:val="0"/>
          <w:marTop w:val="0"/>
          <w:marBottom w:val="0"/>
          <w:divBdr>
            <w:top w:val="none" w:sz="0" w:space="0" w:color="auto"/>
            <w:left w:val="none" w:sz="0" w:space="0" w:color="auto"/>
            <w:bottom w:val="none" w:sz="0" w:space="0" w:color="auto"/>
            <w:right w:val="none" w:sz="0" w:space="0" w:color="auto"/>
          </w:divBdr>
        </w:div>
        <w:div w:id="179051954">
          <w:marLeft w:val="0"/>
          <w:marRight w:val="0"/>
          <w:marTop w:val="0"/>
          <w:marBottom w:val="0"/>
          <w:divBdr>
            <w:top w:val="none" w:sz="0" w:space="0" w:color="auto"/>
            <w:left w:val="none" w:sz="0" w:space="0" w:color="auto"/>
            <w:bottom w:val="none" w:sz="0" w:space="0" w:color="auto"/>
            <w:right w:val="none" w:sz="0" w:space="0" w:color="auto"/>
          </w:divBdr>
        </w:div>
        <w:div w:id="1188177277">
          <w:marLeft w:val="0"/>
          <w:marRight w:val="0"/>
          <w:marTop w:val="0"/>
          <w:marBottom w:val="0"/>
          <w:divBdr>
            <w:top w:val="none" w:sz="0" w:space="0" w:color="auto"/>
            <w:left w:val="none" w:sz="0" w:space="0" w:color="auto"/>
            <w:bottom w:val="none" w:sz="0" w:space="0" w:color="auto"/>
            <w:right w:val="none" w:sz="0" w:space="0" w:color="auto"/>
          </w:divBdr>
        </w:div>
      </w:divsChild>
    </w:div>
    <w:div w:id="1162937709">
      <w:bodyDiv w:val="1"/>
      <w:marLeft w:val="0"/>
      <w:marRight w:val="0"/>
      <w:marTop w:val="0"/>
      <w:marBottom w:val="0"/>
      <w:divBdr>
        <w:top w:val="none" w:sz="0" w:space="0" w:color="auto"/>
        <w:left w:val="none" w:sz="0" w:space="0" w:color="auto"/>
        <w:bottom w:val="none" w:sz="0" w:space="0" w:color="auto"/>
        <w:right w:val="none" w:sz="0" w:space="0" w:color="auto"/>
      </w:divBdr>
      <w:divsChild>
        <w:div w:id="368576524">
          <w:marLeft w:val="0"/>
          <w:marRight w:val="0"/>
          <w:marTop w:val="0"/>
          <w:marBottom w:val="0"/>
          <w:divBdr>
            <w:top w:val="none" w:sz="0" w:space="0" w:color="auto"/>
            <w:left w:val="none" w:sz="0" w:space="0" w:color="auto"/>
            <w:bottom w:val="none" w:sz="0" w:space="0" w:color="auto"/>
            <w:right w:val="none" w:sz="0" w:space="0" w:color="auto"/>
          </w:divBdr>
        </w:div>
      </w:divsChild>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68056883">
      <w:bodyDiv w:val="1"/>
      <w:marLeft w:val="0"/>
      <w:marRight w:val="0"/>
      <w:marTop w:val="0"/>
      <w:marBottom w:val="0"/>
      <w:divBdr>
        <w:top w:val="none" w:sz="0" w:space="0" w:color="auto"/>
        <w:left w:val="none" w:sz="0" w:space="0" w:color="auto"/>
        <w:bottom w:val="none" w:sz="0" w:space="0" w:color="auto"/>
        <w:right w:val="none" w:sz="0" w:space="0" w:color="auto"/>
      </w:divBdr>
      <w:divsChild>
        <w:div w:id="719401627">
          <w:marLeft w:val="0"/>
          <w:marRight w:val="0"/>
          <w:marTop w:val="0"/>
          <w:marBottom w:val="0"/>
          <w:divBdr>
            <w:top w:val="none" w:sz="0" w:space="0" w:color="auto"/>
            <w:left w:val="none" w:sz="0" w:space="0" w:color="auto"/>
            <w:bottom w:val="none" w:sz="0" w:space="0" w:color="auto"/>
            <w:right w:val="none" w:sz="0" w:space="0" w:color="auto"/>
          </w:divBdr>
        </w:div>
      </w:divsChild>
    </w:div>
    <w:div w:id="1168666481">
      <w:bodyDiv w:val="1"/>
      <w:marLeft w:val="0"/>
      <w:marRight w:val="0"/>
      <w:marTop w:val="0"/>
      <w:marBottom w:val="0"/>
      <w:divBdr>
        <w:top w:val="none" w:sz="0" w:space="0" w:color="auto"/>
        <w:left w:val="none" w:sz="0" w:space="0" w:color="auto"/>
        <w:bottom w:val="none" w:sz="0" w:space="0" w:color="auto"/>
        <w:right w:val="none" w:sz="0" w:space="0" w:color="auto"/>
      </w:divBdr>
    </w:div>
    <w:div w:id="1169297504">
      <w:bodyDiv w:val="1"/>
      <w:marLeft w:val="0"/>
      <w:marRight w:val="0"/>
      <w:marTop w:val="0"/>
      <w:marBottom w:val="0"/>
      <w:divBdr>
        <w:top w:val="none" w:sz="0" w:space="0" w:color="auto"/>
        <w:left w:val="none" w:sz="0" w:space="0" w:color="auto"/>
        <w:bottom w:val="none" w:sz="0" w:space="0" w:color="auto"/>
        <w:right w:val="none" w:sz="0" w:space="0" w:color="auto"/>
      </w:divBdr>
    </w:div>
    <w:div w:id="1169373337">
      <w:bodyDiv w:val="1"/>
      <w:marLeft w:val="0"/>
      <w:marRight w:val="0"/>
      <w:marTop w:val="0"/>
      <w:marBottom w:val="0"/>
      <w:divBdr>
        <w:top w:val="none" w:sz="0" w:space="0" w:color="auto"/>
        <w:left w:val="none" w:sz="0" w:space="0" w:color="auto"/>
        <w:bottom w:val="none" w:sz="0" w:space="0" w:color="auto"/>
        <w:right w:val="none" w:sz="0" w:space="0" w:color="auto"/>
      </w:divBdr>
    </w:div>
    <w:div w:id="1175145957">
      <w:bodyDiv w:val="1"/>
      <w:marLeft w:val="0"/>
      <w:marRight w:val="0"/>
      <w:marTop w:val="0"/>
      <w:marBottom w:val="0"/>
      <w:divBdr>
        <w:top w:val="none" w:sz="0" w:space="0" w:color="auto"/>
        <w:left w:val="none" w:sz="0" w:space="0" w:color="auto"/>
        <w:bottom w:val="none" w:sz="0" w:space="0" w:color="auto"/>
        <w:right w:val="none" w:sz="0" w:space="0" w:color="auto"/>
      </w:divBdr>
      <w:divsChild>
        <w:div w:id="1941184462">
          <w:marLeft w:val="0"/>
          <w:marRight w:val="0"/>
          <w:marTop w:val="0"/>
          <w:marBottom w:val="0"/>
          <w:divBdr>
            <w:top w:val="none" w:sz="0" w:space="0" w:color="auto"/>
            <w:left w:val="none" w:sz="0" w:space="0" w:color="auto"/>
            <w:bottom w:val="none" w:sz="0" w:space="0" w:color="auto"/>
            <w:right w:val="none" w:sz="0" w:space="0" w:color="auto"/>
          </w:divBdr>
        </w:div>
      </w:divsChild>
    </w:div>
    <w:div w:id="117815745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0513679">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20046178">
      <w:bodyDiv w:val="1"/>
      <w:marLeft w:val="0"/>
      <w:marRight w:val="0"/>
      <w:marTop w:val="0"/>
      <w:marBottom w:val="0"/>
      <w:divBdr>
        <w:top w:val="none" w:sz="0" w:space="0" w:color="auto"/>
        <w:left w:val="none" w:sz="0" w:space="0" w:color="auto"/>
        <w:bottom w:val="none" w:sz="0" w:space="0" w:color="auto"/>
        <w:right w:val="none" w:sz="0" w:space="0" w:color="auto"/>
      </w:divBdr>
    </w:div>
    <w:div w:id="1222331548">
      <w:bodyDiv w:val="1"/>
      <w:marLeft w:val="0"/>
      <w:marRight w:val="0"/>
      <w:marTop w:val="0"/>
      <w:marBottom w:val="0"/>
      <w:divBdr>
        <w:top w:val="none" w:sz="0" w:space="0" w:color="auto"/>
        <w:left w:val="none" w:sz="0" w:space="0" w:color="auto"/>
        <w:bottom w:val="none" w:sz="0" w:space="0" w:color="auto"/>
        <w:right w:val="none" w:sz="0" w:space="0" w:color="auto"/>
      </w:divBdr>
    </w:div>
    <w:div w:id="1239704123">
      <w:bodyDiv w:val="1"/>
      <w:marLeft w:val="0"/>
      <w:marRight w:val="0"/>
      <w:marTop w:val="0"/>
      <w:marBottom w:val="0"/>
      <w:divBdr>
        <w:top w:val="none" w:sz="0" w:space="0" w:color="auto"/>
        <w:left w:val="none" w:sz="0" w:space="0" w:color="auto"/>
        <w:bottom w:val="none" w:sz="0" w:space="0" w:color="auto"/>
        <w:right w:val="none" w:sz="0" w:space="0" w:color="auto"/>
      </w:divBdr>
      <w:divsChild>
        <w:div w:id="1476218140">
          <w:marLeft w:val="0"/>
          <w:marRight w:val="0"/>
          <w:marTop w:val="0"/>
          <w:marBottom w:val="0"/>
          <w:divBdr>
            <w:top w:val="none" w:sz="0" w:space="0" w:color="auto"/>
            <w:left w:val="none" w:sz="0" w:space="0" w:color="auto"/>
            <w:bottom w:val="none" w:sz="0" w:space="0" w:color="auto"/>
            <w:right w:val="none" w:sz="0" w:space="0" w:color="auto"/>
          </w:divBdr>
          <w:divsChild>
            <w:div w:id="1125778251">
              <w:marLeft w:val="0"/>
              <w:marRight w:val="0"/>
              <w:marTop w:val="0"/>
              <w:marBottom w:val="0"/>
              <w:divBdr>
                <w:top w:val="none" w:sz="0" w:space="0" w:color="auto"/>
                <w:left w:val="none" w:sz="0" w:space="0" w:color="auto"/>
                <w:bottom w:val="none" w:sz="0" w:space="0" w:color="auto"/>
                <w:right w:val="none" w:sz="0" w:space="0" w:color="auto"/>
              </w:divBdr>
              <w:divsChild>
                <w:div w:id="214390218">
                  <w:marLeft w:val="0"/>
                  <w:marRight w:val="0"/>
                  <w:marTop w:val="0"/>
                  <w:marBottom w:val="300"/>
                  <w:divBdr>
                    <w:top w:val="none" w:sz="0" w:space="0" w:color="auto"/>
                    <w:left w:val="none" w:sz="0" w:space="0" w:color="auto"/>
                    <w:bottom w:val="none" w:sz="0" w:space="0" w:color="auto"/>
                    <w:right w:val="none" w:sz="0" w:space="0" w:color="auto"/>
                  </w:divBdr>
                  <w:divsChild>
                    <w:div w:id="700979719">
                      <w:marLeft w:val="0"/>
                      <w:marRight w:val="0"/>
                      <w:marTop w:val="0"/>
                      <w:marBottom w:val="0"/>
                      <w:divBdr>
                        <w:top w:val="none" w:sz="0" w:space="0" w:color="auto"/>
                        <w:left w:val="none" w:sz="0" w:space="0" w:color="auto"/>
                        <w:bottom w:val="none" w:sz="0" w:space="0" w:color="auto"/>
                        <w:right w:val="none" w:sz="0" w:space="0" w:color="auto"/>
                      </w:divBdr>
                      <w:divsChild>
                        <w:div w:id="1725524590">
                          <w:marLeft w:val="0"/>
                          <w:marRight w:val="0"/>
                          <w:marTop w:val="0"/>
                          <w:marBottom w:val="0"/>
                          <w:divBdr>
                            <w:top w:val="none" w:sz="0" w:space="0" w:color="auto"/>
                            <w:left w:val="none" w:sz="0" w:space="0" w:color="auto"/>
                            <w:bottom w:val="none" w:sz="0" w:space="0" w:color="auto"/>
                            <w:right w:val="none" w:sz="0" w:space="0" w:color="auto"/>
                          </w:divBdr>
                          <w:divsChild>
                            <w:div w:id="1160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3225192">
      <w:bodyDiv w:val="1"/>
      <w:marLeft w:val="0"/>
      <w:marRight w:val="0"/>
      <w:marTop w:val="0"/>
      <w:marBottom w:val="0"/>
      <w:divBdr>
        <w:top w:val="none" w:sz="0" w:space="0" w:color="auto"/>
        <w:left w:val="none" w:sz="0" w:space="0" w:color="auto"/>
        <w:bottom w:val="none" w:sz="0" w:space="0" w:color="auto"/>
        <w:right w:val="none" w:sz="0" w:space="0" w:color="auto"/>
      </w:divBdr>
    </w:div>
    <w:div w:id="1263613941">
      <w:bodyDiv w:val="1"/>
      <w:marLeft w:val="0"/>
      <w:marRight w:val="0"/>
      <w:marTop w:val="0"/>
      <w:marBottom w:val="0"/>
      <w:divBdr>
        <w:top w:val="none" w:sz="0" w:space="0" w:color="auto"/>
        <w:left w:val="none" w:sz="0" w:space="0" w:color="auto"/>
        <w:bottom w:val="none" w:sz="0" w:space="0" w:color="auto"/>
        <w:right w:val="none" w:sz="0" w:space="0" w:color="auto"/>
      </w:divBdr>
    </w:div>
    <w:div w:id="1269506919">
      <w:bodyDiv w:val="1"/>
      <w:marLeft w:val="0"/>
      <w:marRight w:val="0"/>
      <w:marTop w:val="0"/>
      <w:marBottom w:val="0"/>
      <w:divBdr>
        <w:top w:val="none" w:sz="0" w:space="0" w:color="auto"/>
        <w:left w:val="none" w:sz="0" w:space="0" w:color="auto"/>
        <w:bottom w:val="none" w:sz="0" w:space="0" w:color="auto"/>
        <w:right w:val="none" w:sz="0" w:space="0" w:color="auto"/>
      </w:divBdr>
    </w:div>
    <w:div w:id="1271205108">
      <w:bodyDiv w:val="1"/>
      <w:marLeft w:val="0"/>
      <w:marRight w:val="0"/>
      <w:marTop w:val="0"/>
      <w:marBottom w:val="0"/>
      <w:divBdr>
        <w:top w:val="none" w:sz="0" w:space="0" w:color="auto"/>
        <w:left w:val="none" w:sz="0" w:space="0" w:color="auto"/>
        <w:bottom w:val="none" w:sz="0" w:space="0" w:color="auto"/>
        <w:right w:val="none" w:sz="0" w:space="0" w:color="auto"/>
      </w:divBdr>
    </w:div>
    <w:div w:id="1275287979">
      <w:bodyDiv w:val="1"/>
      <w:marLeft w:val="0"/>
      <w:marRight w:val="0"/>
      <w:marTop w:val="0"/>
      <w:marBottom w:val="0"/>
      <w:divBdr>
        <w:top w:val="none" w:sz="0" w:space="0" w:color="auto"/>
        <w:left w:val="none" w:sz="0" w:space="0" w:color="auto"/>
        <w:bottom w:val="none" w:sz="0" w:space="0" w:color="auto"/>
        <w:right w:val="none" w:sz="0" w:space="0" w:color="auto"/>
      </w:divBdr>
    </w:div>
    <w:div w:id="1281647049">
      <w:bodyDiv w:val="1"/>
      <w:marLeft w:val="0"/>
      <w:marRight w:val="0"/>
      <w:marTop w:val="0"/>
      <w:marBottom w:val="0"/>
      <w:divBdr>
        <w:top w:val="none" w:sz="0" w:space="0" w:color="auto"/>
        <w:left w:val="none" w:sz="0" w:space="0" w:color="auto"/>
        <w:bottom w:val="none" w:sz="0" w:space="0" w:color="auto"/>
        <w:right w:val="none" w:sz="0" w:space="0" w:color="auto"/>
      </w:divBdr>
      <w:divsChild>
        <w:div w:id="1101293128">
          <w:marLeft w:val="0"/>
          <w:marRight w:val="0"/>
          <w:marTop w:val="0"/>
          <w:marBottom w:val="0"/>
          <w:divBdr>
            <w:top w:val="none" w:sz="0" w:space="0" w:color="auto"/>
            <w:left w:val="none" w:sz="0" w:space="0" w:color="auto"/>
            <w:bottom w:val="none" w:sz="0" w:space="0" w:color="auto"/>
            <w:right w:val="none" w:sz="0" w:space="0" w:color="auto"/>
          </w:divBdr>
        </w:div>
      </w:divsChild>
    </w:div>
    <w:div w:id="1283220381">
      <w:bodyDiv w:val="1"/>
      <w:marLeft w:val="0"/>
      <w:marRight w:val="0"/>
      <w:marTop w:val="0"/>
      <w:marBottom w:val="0"/>
      <w:divBdr>
        <w:top w:val="none" w:sz="0" w:space="0" w:color="auto"/>
        <w:left w:val="none" w:sz="0" w:space="0" w:color="auto"/>
        <w:bottom w:val="none" w:sz="0" w:space="0" w:color="auto"/>
        <w:right w:val="none" w:sz="0" w:space="0" w:color="auto"/>
      </w:divBdr>
      <w:divsChild>
        <w:div w:id="1100683251">
          <w:marLeft w:val="0"/>
          <w:marRight w:val="0"/>
          <w:marTop w:val="0"/>
          <w:marBottom w:val="225"/>
          <w:divBdr>
            <w:top w:val="none" w:sz="0" w:space="0" w:color="auto"/>
            <w:left w:val="none" w:sz="0" w:space="0" w:color="auto"/>
            <w:bottom w:val="none" w:sz="0" w:space="0" w:color="auto"/>
            <w:right w:val="none" w:sz="0" w:space="0" w:color="auto"/>
          </w:divBdr>
        </w:div>
      </w:divsChild>
    </w:div>
    <w:div w:id="1293173626">
      <w:bodyDiv w:val="1"/>
      <w:marLeft w:val="0"/>
      <w:marRight w:val="0"/>
      <w:marTop w:val="0"/>
      <w:marBottom w:val="0"/>
      <w:divBdr>
        <w:top w:val="none" w:sz="0" w:space="0" w:color="auto"/>
        <w:left w:val="none" w:sz="0" w:space="0" w:color="auto"/>
        <w:bottom w:val="none" w:sz="0" w:space="0" w:color="auto"/>
        <w:right w:val="none" w:sz="0" w:space="0" w:color="auto"/>
      </w:divBdr>
    </w:div>
    <w:div w:id="1304585009">
      <w:bodyDiv w:val="1"/>
      <w:marLeft w:val="0"/>
      <w:marRight w:val="0"/>
      <w:marTop w:val="0"/>
      <w:marBottom w:val="0"/>
      <w:divBdr>
        <w:top w:val="none" w:sz="0" w:space="0" w:color="auto"/>
        <w:left w:val="none" w:sz="0" w:space="0" w:color="auto"/>
        <w:bottom w:val="none" w:sz="0" w:space="0" w:color="auto"/>
        <w:right w:val="none" w:sz="0" w:space="0" w:color="auto"/>
      </w:divBdr>
      <w:divsChild>
        <w:div w:id="764154827">
          <w:marLeft w:val="0"/>
          <w:marRight w:val="0"/>
          <w:marTop w:val="0"/>
          <w:marBottom w:val="120"/>
          <w:divBdr>
            <w:top w:val="none" w:sz="0" w:space="0" w:color="auto"/>
            <w:left w:val="none" w:sz="0" w:space="0" w:color="auto"/>
            <w:bottom w:val="none" w:sz="0" w:space="0" w:color="auto"/>
            <w:right w:val="none" w:sz="0" w:space="0" w:color="auto"/>
          </w:divBdr>
        </w:div>
      </w:divsChild>
    </w:div>
    <w:div w:id="1309167913">
      <w:bodyDiv w:val="1"/>
      <w:marLeft w:val="0"/>
      <w:marRight w:val="0"/>
      <w:marTop w:val="0"/>
      <w:marBottom w:val="0"/>
      <w:divBdr>
        <w:top w:val="none" w:sz="0" w:space="0" w:color="auto"/>
        <w:left w:val="none" w:sz="0" w:space="0" w:color="auto"/>
        <w:bottom w:val="none" w:sz="0" w:space="0" w:color="auto"/>
        <w:right w:val="none" w:sz="0" w:space="0" w:color="auto"/>
      </w:divBdr>
      <w:divsChild>
        <w:div w:id="819925939">
          <w:marLeft w:val="0"/>
          <w:marRight w:val="0"/>
          <w:marTop w:val="0"/>
          <w:marBottom w:val="0"/>
          <w:divBdr>
            <w:top w:val="none" w:sz="0" w:space="0" w:color="auto"/>
            <w:left w:val="none" w:sz="0" w:space="0" w:color="auto"/>
            <w:bottom w:val="none" w:sz="0" w:space="0" w:color="auto"/>
            <w:right w:val="none" w:sz="0" w:space="0" w:color="auto"/>
          </w:divBdr>
        </w:div>
      </w:divsChild>
    </w:div>
    <w:div w:id="1318850275">
      <w:bodyDiv w:val="1"/>
      <w:marLeft w:val="0"/>
      <w:marRight w:val="0"/>
      <w:marTop w:val="0"/>
      <w:marBottom w:val="0"/>
      <w:divBdr>
        <w:top w:val="none" w:sz="0" w:space="0" w:color="auto"/>
        <w:left w:val="none" w:sz="0" w:space="0" w:color="auto"/>
        <w:bottom w:val="none" w:sz="0" w:space="0" w:color="auto"/>
        <w:right w:val="none" w:sz="0" w:space="0" w:color="auto"/>
      </w:divBdr>
    </w:div>
    <w:div w:id="1329791708">
      <w:bodyDiv w:val="1"/>
      <w:marLeft w:val="0"/>
      <w:marRight w:val="0"/>
      <w:marTop w:val="0"/>
      <w:marBottom w:val="0"/>
      <w:divBdr>
        <w:top w:val="none" w:sz="0" w:space="0" w:color="auto"/>
        <w:left w:val="none" w:sz="0" w:space="0" w:color="auto"/>
        <w:bottom w:val="none" w:sz="0" w:space="0" w:color="auto"/>
        <w:right w:val="none" w:sz="0" w:space="0" w:color="auto"/>
      </w:divBdr>
    </w:div>
    <w:div w:id="1333723765">
      <w:bodyDiv w:val="1"/>
      <w:marLeft w:val="0"/>
      <w:marRight w:val="0"/>
      <w:marTop w:val="0"/>
      <w:marBottom w:val="0"/>
      <w:divBdr>
        <w:top w:val="none" w:sz="0" w:space="0" w:color="auto"/>
        <w:left w:val="none" w:sz="0" w:space="0" w:color="auto"/>
        <w:bottom w:val="none" w:sz="0" w:space="0" w:color="auto"/>
        <w:right w:val="none" w:sz="0" w:space="0" w:color="auto"/>
      </w:divBdr>
    </w:div>
    <w:div w:id="133780366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3751768">
      <w:bodyDiv w:val="1"/>
      <w:marLeft w:val="0"/>
      <w:marRight w:val="0"/>
      <w:marTop w:val="0"/>
      <w:marBottom w:val="0"/>
      <w:divBdr>
        <w:top w:val="none" w:sz="0" w:space="0" w:color="auto"/>
        <w:left w:val="none" w:sz="0" w:space="0" w:color="auto"/>
        <w:bottom w:val="none" w:sz="0" w:space="0" w:color="auto"/>
        <w:right w:val="none" w:sz="0" w:space="0" w:color="auto"/>
      </w:divBdr>
    </w:div>
    <w:div w:id="1385830915">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5203367">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142896">
      <w:bodyDiv w:val="1"/>
      <w:marLeft w:val="0"/>
      <w:marRight w:val="0"/>
      <w:marTop w:val="0"/>
      <w:marBottom w:val="0"/>
      <w:divBdr>
        <w:top w:val="none" w:sz="0" w:space="0" w:color="auto"/>
        <w:left w:val="none" w:sz="0" w:space="0" w:color="auto"/>
        <w:bottom w:val="none" w:sz="0" w:space="0" w:color="auto"/>
        <w:right w:val="none" w:sz="0" w:space="0" w:color="auto"/>
      </w:divBdr>
    </w:div>
    <w:div w:id="1422726044">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450709">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39527232">
      <w:bodyDiv w:val="1"/>
      <w:marLeft w:val="0"/>
      <w:marRight w:val="0"/>
      <w:marTop w:val="0"/>
      <w:marBottom w:val="0"/>
      <w:divBdr>
        <w:top w:val="none" w:sz="0" w:space="0" w:color="auto"/>
        <w:left w:val="none" w:sz="0" w:space="0" w:color="auto"/>
        <w:bottom w:val="none" w:sz="0" w:space="0" w:color="auto"/>
        <w:right w:val="none" w:sz="0" w:space="0" w:color="auto"/>
      </w:divBdr>
    </w:div>
    <w:div w:id="1444349625">
      <w:bodyDiv w:val="1"/>
      <w:marLeft w:val="0"/>
      <w:marRight w:val="0"/>
      <w:marTop w:val="0"/>
      <w:marBottom w:val="0"/>
      <w:divBdr>
        <w:top w:val="none" w:sz="0" w:space="0" w:color="auto"/>
        <w:left w:val="none" w:sz="0" w:space="0" w:color="auto"/>
        <w:bottom w:val="none" w:sz="0" w:space="0" w:color="auto"/>
        <w:right w:val="none" w:sz="0" w:space="0" w:color="auto"/>
      </w:divBdr>
      <w:divsChild>
        <w:div w:id="2130128039">
          <w:marLeft w:val="0"/>
          <w:marRight w:val="0"/>
          <w:marTop w:val="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863880">
      <w:bodyDiv w:val="1"/>
      <w:marLeft w:val="0"/>
      <w:marRight w:val="0"/>
      <w:marTop w:val="0"/>
      <w:marBottom w:val="0"/>
      <w:divBdr>
        <w:top w:val="none" w:sz="0" w:space="0" w:color="auto"/>
        <w:left w:val="none" w:sz="0" w:space="0" w:color="auto"/>
        <w:bottom w:val="none" w:sz="0" w:space="0" w:color="auto"/>
        <w:right w:val="none" w:sz="0" w:space="0" w:color="auto"/>
      </w:divBdr>
      <w:divsChild>
        <w:div w:id="795492525">
          <w:marLeft w:val="0"/>
          <w:marRight w:val="0"/>
          <w:marTop w:val="0"/>
          <w:marBottom w:val="0"/>
          <w:divBdr>
            <w:top w:val="none" w:sz="0" w:space="0" w:color="auto"/>
            <w:left w:val="none" w:sz="0" w:space="0" w:color="auto"/>
            <w:bottom w:val="none" w:sz="0" w:space="0" w:color="auto"/>
            <w:right w:val="none" w:sz="0" w:space="0" w:color="auto"/>
          </w:divBdr>
          <w:divsChild>
            <w:div w:id="18117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348314">
      <w:bodyDiv w:val="1"/>
      <w:marLeft w:val="0"/>
      <w:marRight w:val="0"/>
      <w:marTop w:val="0"/>
      <w:marBottom w:val="0"/>
      <w:divBdr>
        <w:top w:val="none" w:sz="0" w:space="0" w:color="auto"/>
        <w:left w:val="none" w:sz="0" w:space="0" w:color="auto"/>
        <w:bottom w:val="none" w:sz="0" w:space="0" w:color="auto"/>
        <w:right w:val="none" w:sz="0" w:space="0" w:color="auto"/>
      </w:divBdr>
    </w:div>
    <w:div w:id="150073210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5262633">
      <w:bodyDiv w:val="1"/>
      <w:marLeft w:val="0"/>
      <w:marRight w:val="0"/>
      <w:marTop w:val="0"/>
      <w:marBottom w:val="0"/>
      <w:divBdr>
        <w:top w:val="none" w:sz="0" w:space="0" w:color="auto"/>
        <w:left w:val="none" w:sz="0" w:space="0" w:color="auto"/>
        <w:bottom w:val="none" w:sz="0" w:space="0" w:color="auto"/>
        <w:right w:val="none" w:sz="0" w:space="0" w:color="auto"/>
      </w:divBdr>
      <w:divsChild>
        <w:div w:id="1528980425">
          <w:marLeft w:val="0"/>
          <w:marRight w:val="0"/>
          <w:marTop w:val="0"/>
          <w:marBottom w:val="0"/>
          <w:divBdr>
            <w:top w:val="none" w:sz="0" w:space="0" w:color="auto"/>
            <w:left w:val="none" w:sz="0" w:space="0" w:color="auto"/>
            <w:bottom w:val="none" w:sz="0" w:space="0" w:color="auto"/>
            <w:right w:val="none" w:sz="0" w:space="0" w:color="auto"/>
          </w:divBdr>
        </w:div>
      </w:divsChild>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7311152">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5941187">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877564">
      <w:bodyDiv w:val="1"/>
      <w:marLeft w:val="0"/>
      <w:marRight w:val="0"/>
      <w:marTop w:val="0"/>
      <w:marBottom w:val="0"/>
      <w:divBdr>
        <w:top w:val="none" w:sz="0" w:space="0" w:color="auto"/>
        <w:left w:val="none" w:sz="0" w:space="0" w:color="auto"/>
        <w:bottom w:val="none" w:sz="0" w:space="0" w:color="auto"/>
        <w:right w:val="none" w:sz="0" w:space="0" w:color="auto"/>
      </w:divBdr>
    </w:div>
    <w:div w:id="1536118438">
      <w:bodyDiv w:val="1"/>
      <w:marLeft w:val="0"/>
      <w:marRight w:val="0"/>
      <w:marTop w:val="0"/>
      <w:marBottom w:val="0"/>
      <w:divBdr>
        <w:top w:val="none" w:sz="0" w:space="0" w:color="auto"/>
        <w:left w:val="none" w:sz="0" w:space="0" w:color="auto"/>
        <w:bottom w:val="none" w:sz="0" w:space="0" w:color="auto"/>
        <w:right w:val="none" w:sz="0" w:space="0" w:color="auto"/>
      </w:divBdr>
      <w:divsChild>
        <w:div w:id="955063846">
          <w:marLeft w:val="0"/>
          <w:marRight w:val="0"/>
          <w:marTop w:val="0"/>
          <w:marBottom w:val="0"/>
          <w:divBdr>
            <w:top w:val="none" w:sz="0" w:space="0" w:color="auto"/>
            <w:left w:val="none" w:sz="0" w:space="0" w:color="auto"/>
            <w:bottom w:val="none" w:sz="0" w:space="0" w:color="auto"/>
            <w:right w:val="none" w:sz="0" w:space="0" w:color="auto"/>
          </w:divBdr>
        </w:div>
        <w:div w:id="976111931">
          <w:marLeft w:val="0"/>
          <w:marRight w:val="0"/>
          <w:marTop w:val="0"/>
          <w:marBottom w:val="0"/>
          <w:divBdr>
            <w:top w:val="none" w:sz="0" w:space="0" w:color="auto"/>
            <w:left w:val="none" w:sz="0" w:space="0" w:color="auto"/>
            <w:bottom w:val="none" w:sz="0" w:space="0" w:color="auto"/>
            <w:right w:val="none" w:sz="0" w:space="0" w:color="auto"/>
          </w:divBdr>
        </w:div>
        <w:div w:id="2005206692">
          <w:marLeft w:val="0"/>
          <w:marRight w:val="0"/>
          <w:marTop w:val="0"/>
          <w:marBottom w:val="0"/>
          <w:divBdr>
            <w:top w:val="none" w:sz="0" w:space="0" w:color="auto"/>
            <w:left w:val="none" w:sz="0" w:space="0" w:color="auto"/>
            <w:bottom w:val="none" w:sz="0" w:space="0" w:color="auto"/>
            <w:right w:val="none" w:sz="0" w:space="0" w:color="auto"/>
          </w:divBdr>
        </w:div>
      </w:divsChild>
    </w:div>
    <w:div w:id="1545017306">
      <w:bodyDiv w:val="1"/>
      <w:marLeft w:val="0"/>
      <w:marRight w:val="0"/>
      <w:marTop w:val="0"/>
      <w:marBottom w:val="0"/>
      <w:divBdr>
        <w:top w:val="none" w:sz="0" w:space="0" w:color="auto"/>
        <w:left w:val="none" w:sz="0" w:space="0" w:color="auto"/>
        <w:bottom w:val="none" w:sz="0" w:space="0" w:color="auto"/>
        <w:right w:val="none" w:sz="0" w:space="0" w:color="auto"/>
      </w:divBdr>
      <w:divsChild>
        <w:div w:id="894512332">
          <w:marLeft w:val="0"/>
          <w:marRight w:val="0"/>
          <w:marTop w:val="0"/>
          <w:marBottom w:val="0"/>
          <w:divBdr>
            <w:top w:val="none" w:sz="0" w:space="0" w:color="auto"/>
            <w:left w:val="none" w:sz="0" w:space="0" w:color="auto"/>
            <w:bottom w:val="none" w:sz="0" w:space="0" w:color="auto"/>
            <w:right w:val="none" w:sz="0" w:space="0" w:color="auto"/>
          </w:divBdr>
          <w:divsChild>
            <w:div w:id="1829706935">
              <w:marLeft w:val="0"/>
              <w:marRight w:val="0"/>
              <w:marTop w:val="0"/>
              <w:marBottom w:val="0"/>
              <w:divBdr>
                <w:top w:val="none" w:sz="0" w:space="0" w:color="auto"/>
                <w:left w:val="none" w:sz="0" w:space="0" w:color="auto"/>
                <w:bottom w:val="none" w:sz="0" w:space="0" w:color="auto"/>
                <w:right w:val="none" w:sz="0" w:space="0" w:color="auto"/>
              </w:divBdr>
              <w:divsChild>
                <w:div w:id="482427725">
                  <w:marLeft w:val="600"/>
                  <w:marRight w:val="600"/>
                  <w:marTop w:val="0"/>
                  <w:marBottom w:val="0"/>
                  <w:divBdr>
                    <w:top w:val="none" w:sz="0" w:space="0" w:color="auto"/>
                    <w:left w:val="none" w:sz="0" w:space="0" w:color="auto"/>
                    <w:bottom w:val="none" w:sz="0" w:space="0" w:color="auto"/>
                    <w:right w:val="none" w:sz="0" w:space="0" w:color="auto"/>
                  </w:divBdr>
                  <w:divsChild>
                    <w:div w:id="168761817">
                      <w:marLeft w:val="0"/>
                      <w:marRight w:val="0"/>
                      <w:marTop w:val="0"/>
                      <w:marBottom w:val="0"/>
                      <w:divBdr>
                        <w:top w:val="none" w:sz="0" w:space="0" w:color="auto"/>
                        <w:left w:val="none" w:sz="0" w:space="0" w:color="auto"/>
                        <w:bottom w:val="none" w:sz="0" w:space="0" w:color="auto"/>
                        <w:right w:val="none" w:sz="0" w:space="0" w:color="auto"/>
                      </w:divBdr>
                      <w:divsChild>
                        <w:div w:id="1024984074">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8952251">
      <w:bodyDiv w:val="1"/>
      <w:marLeft w:val="0"/>
      <w:marRight w:val="0"/>
      <w:marTop w:val="0"/>
      <w:marBottom w:val="0"/>
      <w:divBdr>
        <w:top w:val="none" w:sz="0" w:space="0" w:color="auto"/>
        <w:left w:val="none" w:sz="0" w:space="0" w:color="auto"/>
        <w:bottom w:val="none" w:sz="0" w:space="0" w:color="auto"/>
        <w:right w:val="none" w:sz="0" w:space="0" w:color="auto"/>
      </w:divBdr>
    </w:div>
    <w:div w:id="1549224678">
      <w:bodyDiv w:val="1"/>
      <w:marLeft w:val="0"/>
      <w:marRight w:val="0"/>
      <w:marTop w:val="0"/>
      <w:marBottom w:val="0"/>
      <w:divBdr>
        <w:top w:val="none" w:sz="0" w:space="0" w:color="auto"/>
        <w:left w:val="none" w:sz="0" w:space="0" w:color="auto"/>
        <w:bottom w:val="none" w:sz="0" w:space="0" w:color="auto"/>
        <w:right w:val="none" w:sz="0" w:space="0" w:color="auto"/>
      </w:divBdr>
      <w:divsChild>
        <w:div w:id="1715235506">
          <w:marLeft w:val="0"/>
          <w:marRight w:val="0"/>
          <w:marTop w:val="0"/>
          <w:marBottom w:val="300"/>
          <w:divBdr>
            <w:top w:val="none" w:sz="0" w:space="0" w:color="auto"/>
            <w:left w:val="none" w:sz="0" w:space="0" w:color="auto"/>
            <w:bottom w:val="none" w:sz="0" w:space="0" w:color="auto"/>
            <w:right w:val="none" w:sz="0" w:space="0" w:color="auto"/>
          </w:divBdr>
        </w:div>
      </w:divsChild>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2060322">
      <w:bodyDiv w:val="1"/>
      <w:marLeft w:val="0"/>
      <w:marRight w:val="0"/>
      <w:marTop w:val="0"/>
      <w:marBottom w:val="0"/>
      <w:divBdr>
        <w:top w:val="none" w:sz="0" w:space="0" w:color="auto"/>
        <w:left w:val="none" w:sz="0" w:space="0" w:color="auto"/>
        <w:bottom w:val="none" w:sz="0" w:space="0" w:color="auto"/>
        <w:right w:val="none" w:sz="0" w:space="0" w:color="auto"/>
      </w:divBdr>
      <w:divsChild>
        <w:div w:id="394936705">
          <w:marLeft w:val="0"/>
          <w:marRight w:val="0"/>
          <w:marTop w:val="0"/>
          <w:marBottom w:val="0"/>
          <w:divBdr>
            <w:top w:val="none" w:sz="0" w:space="0" w:color="auto"/>
            <w:left w:val="none" w:sz="0" w:space="0" w:color="auto"/>
            <w:bottom w:val="none" w:sz="0" w:space="0" w:color="auto"/>
            <w:right w:val="none" w:sz="0" w:space="0" w:color="auto"/>
          </w:divBdr>
        </w:div>
        <w:div w:id="444354618">
          <w:marLeft w:val="0"/>
          <w:marRight w:val="0"/>
          <w:marTop w:val="0"/>
          <w:marBottom w:val="0"/>
          <w:divBdr>
            <w:top w:val="none" w:sz="0" w:space="0" w:color="auto"/>
            <w:left w:val="none" w:sz="0" w:space="0" w:color="auto"/>
            <w:bottom w:val="none" w:sz="0" w:space="0" w:color="auto"/>
            <w:right w:val="none" w:sz="0" w:space="0" w:color="auto"/>
          </w:divBdr>
          <w:divsChild>
            <w:div w:id="1312827085">
              <w:marLeft w:val="0"/>
              <w:marRight w:val="0"/>
              <w:marTop w:val="0"/>
              <w:marBottom w:val="0"/>
              <w:divBdr>
                <w:top w:val="none" w:sz="0" w:space="0" w:color="auto"/>
                <w:left w:val="none" w:sz="0" w:space="0" w:color="auto"/>
                <w:bottom w:val="none" w:sz="0" w:space="0" w:color="auto"/>
                <w:right w:val="none" w:sz="0" w:space="0" w:color="auto"/>
              </w:divBdr>
              <w:divsChild>
                <w:div w:id="170921160">
                  <w:marLeft w:val="0"/>
                  <w:marRight w:val="0"/>
                  <w:marTop w:val="0"/>
                  <w:marBottom w:val="0"/>
                  <w:divBdr>
                    <w:top w:val="none" w:sz="0" w:space="0" w:color="auto"/>
                    <w:left w:val="none" w:sz="0" w:space="0" w:color="auto"/>
                    <w:bottom w:val="none" w:sz="0" w:space="0" w:color="auto"/>
                    <w:right w:val="none" w:sz="0" w:space="0" w:color="auto"/>
                  </w:divBdr>
                </w:div>
                <w:div w:id="1548880642">
                  <w:marLeft w:val="0"/>
                  <w:marRight w:val="0"/>
                  <w:marTop w:val="75"/>
                  <w:marBottom w:val="0"/>
                  <w:divBdr>
                    <w:top w:val="none" w:sz="0" w:space="0" w:color="auto"/>
                    <w:left w:val="none" w:sz="0" w:space="0" w:color="auto"/>
                    <w:bottom w:val="none" w:sz="0" w:space="0" w:color="auto"/>
                    <w:right w:val="none" w:sz="0" w:space="0" w:color="auto"/>
                  </w:divBdr>
                </w:div>
              </w:divsChild>
            </w:div>
            <w:div w:id="411321373">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583951">
      <w:bodyDiv w:val="1"/>
      <w:marLeft w:val="0"/>
      <w:marRight w:val="0"/>
      <w:marTop w:val="0"/>
      <w:marBottom w:val="0"/>
      <w:divBdr>
        <w:top w:val="none" w:sz="0" w:space="0" w:color="auto"/>
        <w:left w:val="none" w:sz="0" w:space="0" w:color="auto"/>
        <w:bottom w:val="none" w:sz="0" w:space="0" w:color="auto"/>
        <w:right w:val="none" w:sz="0" w:space="0" w:color="auto"/>
      </w:divBdr>
    </w:div>
    <w:div w:id="1578247017">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167449">
      <w:bodyDiv w:val="1"/>
      <w:marLeft w:val="0"/>
      <w:marRight w:val="0"/>
      <w:marTop w:val="0"/>
      <w:marBottom w:val="0"/>
      <w:divBdr>
        <w:top w:val="none" w:sz="0" w:space="0" w:color="auto"/>
        <w:left w:val="none" w:sz="0" w:space="0" w:color="auto"/>
        <w:bottom w:val="none" w:sz="0" w:space="0" w:color="auto"/>
        <w:right w:val="none" w:sz="0" w:space="0" w:color="auto"/>
      </w:divBdr>
      <w:divsChild>
        <w:div w:id="1372071716">
          <w:marLeft w:val="0"/>
          <w:marRight w:val="0"/>
          <w:marTop w:val="0"/>
          <w:marBottom w:val="0"/>
          <w:divBdr>
            <w:top w:val="none" w:sz="0" w:space="0" w:color="auto"/>
            <w:left w:val="none" w:sz="0" w:space="0" w:color="auto"/>
            <w:bottom w:val="none" w:sz="0" w:space="0" w:color="auto"/>
            <w:right w:val="none" w:sz="0" w:space="0" w:color="auto"/>
          </w:divBdr>
        </w:div>
      </w:divsChild>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603952479">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22758300">
      <w:bodyDiv w:val="1"/>
      <w:marLeft w:val="0"/>
      <w:marRight w:val="0"/>
      <w:marTop w:val="0"/>
      <w:marBottom w:val="0"/>
      <w:divBdr>
        <w:top w:val="none" w:sz="0" w:space="0" w:color="auto"/>
        <w:left w:val="none" w:sz="0" w:space="0" w:color="auto"/>
        <w:bottom w:val="none" w:sz="0" w:space="0" w:color="auto"/>
        <w:right w:val="none" w:sz="0" w:space="0" w:color="auto"/>
      </w:divBdr>
    </w:div>
    <w:div w:id="1636982193">
      <w:bodyDiv w:val="1"/>
      <w:marLeft w:val="0"/>
      <w:marRight w:val="0"/>
      <w:marTop w:val="0"/>
      <w:marBottom w:val="0"/>
      <w:divBdr>
        <w:top w:val="none" w:sz="0" w:space="0" w:color="auto"/>
        <w:left w:val="none" w:sz="0" w:space="0" w:color="auto"/>
        <w:bottom w:val="none" w:sz="0" w:space="0" w:color="auto"/>
        <w:right w:val="none" w:sz="0" w:space="0" w:color="auto"/>
      </w:divBdr>
    </w:div>
    <w:div w:id="1637954883">
      <w:bodyDiv w:val="1"/>
      <w:marLeft w:val="0"/>
      <w:marRight w:val="0"/>
      <w:marTop w:val="0"/>
      <w:marBottom w:val="0"/>
      <w:divBdr>
        <w:top w:val="none" w:sz="0" w:space="0" w:color="auto"/>
        <w:left w:val="none" w:sz="0" w:space="0" w:color="auto"/>
        <w:bottom w:val="none" w:sz="0" w:space="0" w:color="auto"/>
        <w:right w:val="none" w:sz="0" w:space="0" w:color="auto"/>
      </w:divBdr>
    </w:div>
    <w:div w:id="1642542165">
      <w:bodyDiv w:val="1"/>
      <w:marLeft w:val="0"/>
      <w:marRight w:val="0"/>
      <w:marTop w:val="0"/>
      <w:marBottom w:val="0"/>
      <w:divBdr>
        <w:top w:val="none" w:sz="0" w:space="0" w:color="auto"/>
        <w:left w:val="none" w:sz="0" w:space="0" w:color="auto"/>
        <w:bottom w:val="none" w:sz="0" w:space="0" w:color="auto"/>
        <w:right w:val="none" w:sz="0" w:space="0" w:color="auto"/>
      </w:divBdr>
    </w:div>
    <w:div w:id="1642612139">
      <w:bodyDiv w:val="1"/>
      <w:marLeft w:val="0"/>
      <w:marRight w:val="0"/>
      <w:marTop w:val="0"/>
      <w:marBottom w:val="0"/>
      <w:divBdr>
        <w:top w:val="none" w:sz="0" w:space="0" w:color="auto"/>
        <w:left w:val="none" w:sz="0" w:space="0" w:color="auto"/>
        <w:bottom w:val="none" w:sz="0" w:space="0" w:color="auto"/>
        <w:right w:val="none" w:sz="0" w:space="0" w:color="auto"/>
      </w:divBdr>
    </w:div>
    <w:div w:id="1645502714">
      <w:bodyDiv w:val="1"/>
      <w:marLeft w:val="0"/>
      <w:marRight w:val="0"/>
      <w:marTop w:val="0"/>
      <w:marBottom w:val="0"/>
      <w:divBdr>
        <w:top w:val="none" w:sz="0" w:space="0" w:color="auto"/>
        <w:left w:val="none" w:sz="0" w:space="0" w:color="auto"/>
        <w:bottom w:val="none" w:sz="0" w:space="0" w:color="auto"/>
        <w:right w:val="none" w:sz="0" w:space="0" w:color="auto"/>
      </w:divBdr>
      <w:divsChild>
        <w:div w:id="1254975131">
          <w:marLeft w:val="0"/>
          <w:marRight w:val="0"/>
          <w:marTop w:val="0"/>
          <w:marBottom w:val="0"/>
          <w:divBdr>
            <w:top w:val="none" w:sz="0" w:space="0" w:color="auto"/>
            <w:left w:val="none" w:sz="0" w:space="0" w:color="auto"/>
            <w:bottom w:val="none" w:sz="0" w:space="0" w:color="auto"/>
            <w:right w:val="none" w:sz="0" w:space="0" w:color="auto"/>
          </w:divBdr>
          <w:divsChild>
            <w:div w:id="180646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4137995">
      <w:bodyDiv w:val="1"/>
      <w:marLeft w:val="0"/>
      <w:marRight w:val="0"/>
      <w:marTop w:val="0"/>
      <w:marBottom w:val="0"/>
      <w:divBdr>
        <w:top w:val="none" w:sz="0" w:space="0" w:color="auto"/>
        <w:left w:val="none" w:sz="0" w:space="0" w:color="auto"/>
        <w:bottom w:val="none" w:sz="0" w:space="0" w:color="auto"/>
        <w:right w:val="none" w:sz="0" w:space="0" w:color="auto"/>
      </w:divBdr>
    </w:div>
    <w:div w:id="1674262955">
      <w:bodyDiv w:val="1"/>
      <w:marLeft w:val="0"/>
      <w:marRight w:val="0"/>
      <w:marTop w:val="0"/>
      <w:marBottom w:val="0"/>
      <w:divBdr>
        <w:top w:val="none" w:sz="0" w:space="0" w:color="auto"/>
        <w:left w:val="none" w:sz="0" w:space="0" w:color="auto"/>
        <w:bottom w:val="none" w:sz="0" w:space="0" w:color="auto"/>
        <w:right w:val="none" w:sz="0" w:space="0" w:color="auto"/>
      </w:divBdr>
    </w:div>
    <w:div w:id="1683509744">
      <w:bodyDiv w:val="1"/>
      <w:marLeft w:val="0"/>
      <w:marRight w:val="0"/>
      <w:marTop w:val="0"/>
      <w:marBottom w:val="0"/>
      <w:divBdr>
        <w:top w:val="none" w:sz="0" w:space="0" w:color="auto"/>
        <w:left w:val="none" w:sz="0" w:space="0" w:color="auto"/>
        <w:bottom w:val="none" w:sz="0" w:space="0" w:color="auto"/>
        <w:right w:val="none" w:sz="0" w:space="0" w:color="auto"/>
      </w:divBdr>
    </w:div>
    <w:div w:id="1686861086">
      <w:bodyDiv w:val="1"/>
      <w:marLeft w:val="0"/>
      <w:marRight w:val="0"/>
      <w:marTop w:val="0"/>
      <w:marBottom w:val="0"/>
      <w:divBdr>
        <w:top w:val="none" w:sz="0" w:space="0" w:color="auto"/>
        <w:left w:val="none" w:sz="0" w:space="0" w:color="auto"/>
        <w:bottom w:val="none" w:sz="0" w:space="0" w:color="auto"/>
        <w:right w:val="none" w:sz="0" w:space="0" w:color="auto"/>
      </w:divBdr>
    </w:div>
    <w:div w:id="1688632544">
      <w:bodyDiv w:val="1"/>
      <w:marLeft w:val="0"/>
      <w:marRight w:val="0"/>
      <w:marTop w:val="0"/>
      <w:marBottom w:val="0"/>
      <w:divBdr>
        <w:top w:val="none" w:sz="0" w:space="0" w:color="auto"/>
        <w:left w:val="none" w:sz="0" w:space="0" w:color="auto"/>
        <w:bottom w:val="none" w:sz="0" w:space="0" w:color="auto"/>
        <w:right w:val="none" w:sz="0" w:space="0" w:color="auto"/>
      </w:divBdr>
      <w:divsChild>
        <w:div w:id="1061103291">
          <w:marLeft w:val="0"/>
          <w:marRight w:val="0"/>
          <w:marTop w:val="0"/>
          <w:marBottom w:val="0"/>
          <w:divBdr>
            <w:top w:val="none" w:sz="0" w:space="0" w:color="auto"/>
            <w:left w:val="none" w:sz="0" w:space="0" w:color="auto"/>
            <w:bottom w:val="none" w:sz="0" w:space="0" w:color="auto"/>
            <w:right w:val="none" w:sz="0" w:space="0" w:color="auto"/>
          </w:divBdr>
          <w:divsChild>
            <w:div w:id="15987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157700">
      <w:bodyDiv w:val="1"/>
      <w:marLeft w:val="0"/>
      <w:marRight w:val="0"/>
      <w:marTop w:val="0"/>
      <w:marBottom w:val="0"/>
      <w:divBdr>
        <w:top w:val="none" w:sz="0" w:space="0" w:color="auto"/>
        <w:left w:val="none" w:sz="0" w:space="0" w:color="auto"/>
        <w:bottom w:val="none" w:sz="0" w:space="0" w:color="auto"/>
        <w:right w:val="none" w:sz="0" w:space="0" w:color="auto"/>
      </w:divBdr>
    </w:div>
    <w:div w:id="1718428254">
      <w:bodyDiv w:val="1"/>
      <w:marLeft w:val="0"/>
      <w:marRight w:val="0"/>
      <w:marTop w:val="0"/>
      <w:marBottom w:val="0"/>
      <w:divBdr>
        <w:top w:val="none" w:sz="0" w:space="0" w:color="auto"/>
        <w:left w:val="none" w:sz="0" w:space="0" w:color="auto"/>
        <w:bottom w:val="none" w:sz="0" w:space="0" w:color="auto"/>
        <w:right w:val="none" w:sz="0" w:space="0" w:color="auto"/>
      </w:divBdr>
    </w:div>
    <w:div w:id="1724062976">
      <w:bodyDiv w:val="1"/>
      <w:marLeft w:val="0"/>
      <w:marRight w:val="0"/>
      <w:marTop w:val="0"/>
      <w:marBottom w:val="0"/>
      <w:divBdr>
        <w:top w:val="none" w:sz="0" w:space="0" w:color="auto"/>
        <w:left w:val="none" w:sz="0" w:space="0" w:color="auto"/>
        <w:bottom w:val="none" w:sz="0" w:space="0" w:color="auto"/>
        <w:right w:val="none" w:sz="0" w:space="0" w:color="auto"/>
      </w:divBdr>
      <w:divsChild>
        <w:div w:id="1466044181">
          <w:marLeft w:val="0"/>
          <w:marRight w:val="0"/>
          <w:marTop w:val="0"/>
          <w:marBottom w:val="0"/>
          <w:divBdr>
            <w:top w:val="none" w:sz="0" w:space="0" w:color="auto"/>
            <w:left w:val="none" w:sz="0" w:space="0" w:color="auto"/>
            <w:bottom w:val="none" w:sz="0" w:space="0" w:color="auto"/>
            <w:right w:val="none" w:sz="0" w:space="0" w:color="auto"/>
          </w:divBdr>
          <w:divsChild>
            <w:div w:id="211216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954378">
      <w:bodyDiv w:val="1"/>
      <w:marLeft w:val="0"/>
      <w:marRight w:val="0"/>
      <w:marTop w:val="0"/>
      <w:marBottom w:val="0"/>
      <w:divBdr>
        <w:top w:val="none" w:sz="0" w:space="0" w:color="auto"/>
        <w:left w:val="none" w:sz="0" w:space="0" w:color="auto"/>
        <w:bottom w:val="none" w:sz="0" w:space="0" w:color="auto"/>
        <w:right w:val="none" w:sz="0" w:space="0" w:color="auto"/>
      </w:divBdr>
      <w:divsChild>
        <w:div w:id="1481655111">
          <w:marLeft w:val="0"/>
          <w:marRight w:val="0"/>
          <w:marTop w:val="0"/>
          <w:marBottom w:val="0"/>
          <w:divBdr>
            <w:top w:val="none" w:sz="0" w:space="0" w:color="auto"/>
            <w:left w:val="none" w:sz="0" w:space="0" w:color="auto"/>
            <w:bottom w:val="none" w:sz="0" w:space="0" w:color="auto"/>
            <w:right w:val="none" w:sz="0" w:space="0" w:color="auto"/>
          </w:divBdr>
        </w:div>
      </w:divsChild>
    </w:div>
    <w:div w:id="1727950291">
      <w:bodyDiv w:val="1"/>
      <w:marLeft w:val="0"/>
      <w:marRight w:val="0"/>
      <w:marTop w:val="0"/>
      <w:marBottom w:val="0"/>
      <w:divBdr>
        <w:top w:val="none" w:sz="0" w:space="0" w:color="auto"/>
        <w:left w:val="none" w:sz="0" w:space="0" w:color="auto"/>
        <w:bottom w:val="none" w:sz="0" w:space="0" w:color="auto"/>
        <w:right w:val="none" w:sz="0" w:space="0" w:color="auto"/>
      </w:divBdr>
    </w:div>
    <w:div w:id="1734963962">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37901026">
      <w:bodyDiv w:val="1"/>
      <w:marLeft w:val="0"/>
      <w:marRight w:val="0"/>
      <w:marTop w:val="0"/>
      <w:marBottom w:val="0"/>
      <w:divBdr>
        <w:top w:val="none" w:sz="0" w:space="0" w:color="auto"/>
        <w:left w:val="none" w:sz="0" w:space="0" w:color="auto"/>
        <w:bottom w:val="none" w:sz="0" w:space="0" w:color="auto"/>
        <w:right w:val="none" w:sz="0" w:space="0" w:color="auto"/>
      </w:divBdr>
    </w:div>
    <w:div w:id="1740787869">
      <w:bodyDiv w:val="1"/>
      <w:marLeft w:val="0"/>
      <w:marRight w:val="0"/>
      <w:marTop w:val="0"/>
      <w:marBottom w:val="0"/>
      <w:divBdr>
        <w:top w:val="none" w:sz="0" w:space="0" w:color="auto"/>
        <w:left w:val="none" w:sz="0" w:space="0" w:color="auto"/>
        <w:bottom w:val="none" w:sz="0" w:space="0" w:color="auto"/>
        <w:right w:val="none" w:sz="0" w:space="0" w:color="auto"/>
      </w:divBdr>
      <w:divsChild>
        <w:div w:id="508983553">
          <w:marLeft w:val="0"/>
          <w:marRight w:val="0"/>
          <w:marTop w:val="0"/>
          <w:marBottom w:val="0"/>
          <w:divBdr>
            <w:top w:val="none" w:sz="0" w:space="0" w:color="auto"/>
            <w:left w:val="none" w:sz="0" w:space="0" w:color="auto"/>
            <w:bottom w:val="none" w:sz="0" w:space="0" w:color="auto"/>
            <w:right w:val="none" w:sz="0" w:space="0" w:color="auto"/>
          </w:divBdr>
          <w:divsChild>
            <w:div w:id="159198589">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 w:id="1747607643">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2773405">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0901853">
      <w:bodyDiv w:val="1"/>
      <w:marLeft w:val="0"/>
      <w:marRight w:val="0"/>
      <w:marTop w:val="0"/>
      <w:marBottom w:val="0"/>
      <w:divBdr>
        <w:top w:val="none" w:sz="0" w:space="0" w:color="auto"/>
        <w:left w:val="none" w:sz="0" w:space="0" w:color="auto"/>
        <w:bottom w:val="none" w:sz="0" w:space="0" w:color="auto"/>
        <w:right w:val="none" w:sz="0" w:space="0" w:color="auto"/>
      </w:divBdr>
    </w:div>
    <w:div w:id="1785610863">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0398081">
      <w:bodyDiv w:val="1"/>
      <w:marLeft w:val="0"/>
      <w:marRight w:val="0"/>
      <w:marTop w:val="0"/>
      <w:marBottom w:val="0"/>
      <w:divBdr>
        <w:top w:val="none" w:sz="0" w:space="0" w:color="auto"/>
        <w:left w:val="none" w:sz="0" w:space="0" w:color="auto"/>
        <w:bottom w:val="none" w:sz="0" w:space="0" w:color="auto"/>
        <w:right w:val="none" w:sz="0" w:space="0" w:color="auto"/>
      </w:divBdr>
    </w:div>
    <w:div w:id="1808815012">
      <w:bodyDiv w:val="1"/>
      <w:marLeft w:val="0"/>
      <w:marRight w:val="0"/>
      <w:marTop w:val="0"/>
      <w:marBottom w:val="0"/>
      <w:divBdr>
        <w:top w:val="none" w:sz="0" w:space="0" w:color="auto"/>
        <w:left w:val="none" w:sz="0" w:space="0" w:color="auto"/>
        <w:bottom w:val="none" w:sz="0" w:space="0" w:color="auto"/>
        <w:right w:val="none" w:sz="0" w:space="0" w:color="auto"/>
      </w:divBdr>
    </w:div>
    <w:div w:id="1813134468">
      <w:bodyDiv w:val="1"/>
      <w:marLeft w:val="0"/>
      <w:marRight w:val="0"/>
      <w:marTop w:val="0"/>
      <w:marBottom w:val="0"/>
      <w:divBdr>
        <w:top w:val="none" w:sz="0" w:space="0" w:color="auto"/>
        <w:left w:val="none" w:sz="0" w:space="0" w:color="auto"/>
        <w:bottom w:val="none" w:sz="0" w:space="0" w:color="auto"/>
        <w:right w:val="none" w:sz="0" w:space="0" w:color="auto"/>
      </w:divBdr>
    </w:div>
    <w:div w:id="1814903273">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2621227">
      <w:bodyDiv w:val="1"/>
      <w:marLeft w:val="0"/>
      <w:marRight w:val="0"/>
      <w:marTop w:val="0"/>
      <w:marBottom w:val="0"/>
      <w:divBdr>
        <w:top w:val="none" w:sz="0" w:space="0" w:color="auto"/>
        <w:left w:val="none" w:sz="0" w:space="0" w:color="auto"/>
        <w:bottom w:val="none" w:sz="0" w:space="0" w:color="auto"/>
        <w:right w:val="none" w:sz="0" w:space="0" w:color="auto"/>
      </w:divBdr>
    </w:div>
    <w:div w:id="1844857111">
      <w:bodyDiv w:val="1"/>
      <w:marLeft w:val="0"/>
      <w:marRight w:val="0"/>
      <w:marTop w:val="0"/>
      <w:marBottom w:val="0"/>
      <w:divBdr>
        <w:top w:val="none" w:sz="0" w:space="0" w:color="auto"/>
        <w:left w:val="none" w:sz="0" w:space="0" w:color="auto"/>
        <w:bottom w:val="none" w:sz="0" w:space="0" w:color="auto"/>
        <w:right w:val="none" w:sz="0" w:space="0" w:color="auto"/>
      </w:divBdr>
    </w:div>
    <w:div w:id="1846049970">
      <w:bodyDiv w:val="1"/>
      <w:marLeft w:val="0"/>
      <w:marRight w:val="0"/>
      <w:marTop w:val="0"/>
      <w:marBottom w:val="0"/>
      <w:divBdr>
        <w:top w:val="none" w:sz="0" w:space="0" w:color="auto"/>
        <w:left w:val="none" w:sz="0" w:space="0" w:color="auto"/>
        <w:bottom w:val="none" w:sz="0" w:space="0" w:color="auto"/>
        <w:right w:val="none" w:sz="0" w:space="0" w:color="auto"/>
      </w:divBdr>
    </w:div>
    <w:div w:id="1847935581">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5552308">
      <w:bodyDiv w:val="1"/>
      <w:marLeft w:val="0"/>
      <w:marRight w:val="0"/>
      <w:marTop w:val="0"/>
      <w:marBottom w:val="0"/>
      <w:divBdr>
        <w:top w:val="none" w:sz="0" w:space="0" w:color="auto"/>
        <w:left w:val="none" w:sz="0" w:space="0" w:color="auto"/>
        <w:bottom w:val="none" w:sz="0" w:space="0" w:color="auto"/>
        <w:right w:val="none" w:sz="0" w:space="0" w:color="auto"/>
      </w:divBdr>
    </w:div>
    <w:div w:id="1872066891">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06408618">
      <w:bodyDiv w:val="1"/>
      <w:marLeft w:val="0"/>
      <w:marRight w:val="0"/>
      <w:marTop w:val="0"/>
      <w:marBottom w:val="0"/>
      <w:divBdr>
        <w:top w:val="none" w:sz="0" w:space="0" w:color="auto"/>
        <w:left w:val="none" w:sz="0" w:space="0" w:color="auto"/>
        <w:bottom w:val="none" w:sz="0" w:space="0" w:color="auto"/>
        <w:right w:val="none" w:sz="0" w:space="0" w:color="auto"/>
      </w:divBdr>
    </w:div>
    <w:div w:id="1911500209">
      <w:bodyDiv w:val="1"/>
      <w:marLeft w:val="0"/>
      <w:marRight w:val="0"/>
      <w:marTop w:val="0"/>
      <w:marBottom w:val="0"/>
      <w:divBdr>
        <w:top w:val="none" w:sz="0" w:space="0" w:color="auto"/>
        <w:left w:val="none" w:sz="0" w:space="0" w:color="auto"/>
        <w:bottom w:val="none" w:sz="0" w:space="0" w:color="auto"/>
        <w:right w:val="none" w:sz="0" w:space="0" w:color="auto"/>
      </w:divBdr>
    </w:div>
    <w:div w:id="1916430096">
      <w:bodyDiv w:val="1"/>
      <w:marLeft w:val="0"/>
      <w:marRight w:val="0"/>
      <w:marTop w:val="0"/>
      <w:marBottom w:val="0"/>
      <w:divBdr>
        <w:top w:val="none" w:sz="0" w:space="0" w:color="auto"/>
        <w:left w:val="none" w:sz="0" w:space="0" w:color="auto"/>
        <w:bottom w:val="none" w:sz="0" w:space="0" w:color="auto"/>
        <w:right w:val="none" w:sz="0" w:space="0" w:color="auto"/>
      </w:divBdr>
      <w:divsChild>
        <w:div w:id="940261186">
          <w:marLeft w:val="0"/>
          <w:marRight w:val="0"/>
          <w:marTop w:val="0"/>
          <w:marBottom w:val="0"/>
          <w:divBdr>
            <w:top w:val="none" w:sz="0" w:space="0" w:color="auto"/>
            <w:left w:val="none" w:sz="0" w:space="0" w:color="auto"/>
            <w:bottom w:val="none" w:sz="0" w:space="0" w:color="auto"/>
            <w:right w:val="none" w:sz="0" w:space="0" w:color="auto"/>
          </w:divBdr>
          <w:divsChild>
            <w:div w:id="105049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2788807">
      <w:bodyDiv w:val="1"/>
      <w:marLeft w:val="0"/>
      <w:marRight w:val="0"/>
      <w:marTop w:val="0"/>
      <w:marBottom w:val="0"/>
      <w:divBdr>
        <w:top w:val="none" w:sz="0" w:space="0" w:color="auto"/>
        <w:left w:val="none" w:sz="0" w:space="0" w:color="auto"/>
        <w:bottom w:val="none" w:sz="0" w:space="0" w:color="auto"/>
        <w:right w:val="none" w:sz="0" w:space="0" w:color="auto"/>
      </w:divBdr>
    </w:div>
    <w:div w:id="1924099818">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29579846">
      <w:bodyDiv w:val="1"/>
      <w:marLeft w:val="0"/>
      <w:marRight w:val="0"/>
      <w:marTop w:val="0"/>
      <w:marBottom w:val="0"/>
      <w:divBdr>
        <w:top w:val="none" w:sz="0" w:space="0" w:color="auto"/>
        <w:left w:val="none" w:sz="0" w:space="0" w:color="auto"/>
        <w:bottom w:val="none" w:sz="0" w:space="0" w:color="auto"/>
        <w:right w:val="none" w:sz="0" w:space="0" w:color="auto"/>
      </w:divBdr>
      <w:divsChild>
        <w:div w:id="27801754">
          <w:marLeft w:val="1200"/>
          <w:marRight w:val="0"/>
          <w:marTop w:val="0"/>
          <w:marBottom w:val="0"/>
          <w:divBdr>
            <w:top w:val="none" w:sz="0" w:space="0" w:color="auto"/>
            <w:left w:val="none" w:sz="0" w:space="0" w:color="auto"/>
            <w:bottom w:val="none" w:sz="0" w:space="0" w:color="auto"/>
            <w:right w:val="none" w:sz="0" w:space="0" w:color="auto"/>
          </w:divBdr>
        </w:div>
      </w:divsChild>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3032707">
      <w:bodyDiv w:val="1"/>
      <w:marLeft w:val="0"/>
      <w:marRight w:val="0"/>
      <w:marTop w:val="0"/>
      <w:marBottom w:val="0"/>
      <w:divBdr>
        <w:top w:val="none" w:sz="0" w:space="0" w:color="auto"/>
        <w:left w:val="none" w:sz="0" w:space="0" w:color="auto"/>
        <w:bottom w:val="none" w:sz="0" w:space="0" w:color="auto"/>
        <w:right w:val="none" w:sz="0" w:space="0" w:color="auto"/>
      </w:divBdr>
    </w:div>
    <w:div w:id="195228189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1715539">
      <w:bodyDiv w:val="1"/>
      <w:marLeft w:val="0"/>
      <w:marRight w:val="0"/>
      <w:marTop w:val="0"/>
      <w:marBottom w:val="0"/>
      <w:divBdr>
        <w:top w:val="none" w:sz="0" w:space="0" w:color="auto"/>
        <w:left w:val="none" w:sz="0" w:space="0" w:color="auto"/>
        <w:bottom w:val="none" w:sz="0" w:space="0" w:color="auto"/>
        <w:right w:val="none" w:sz="0" w:space="0" w:color="auto"/>
      </w:divBdr>
    </w:div>
    <w:div w:id="1962960164">
      <w:bodyDiv w:val="1"/>
      <w:marLeft w:val="0"/>
      <w:marRight w:val="0"/>
      <w:marTop w:val="0"/>
      <w:marBottom w:val="0"/>
      <w:divBdr>
        <w:top w:val="none" w:sz="0" w:space="0" w:color="auto"/>
        <w:left w:val="none" w:sz="0" w:space="0" w:color="auto"/>
        <w:bottom w:val="none" w:sz="0" w:space="0" w:color="auto"/>
        <w:right w:val="none" w:sz="0" w:space="0" w:color="auto"/>
      </w:divBdr>
      <w:divsChild>
        <w:div w:id="416294046">
          <w:marLeft w:val="0"/>
          <w:marRight w:val="0"/>
          <w:marTop w:val="0"/>
          <w:marBottom w:val="0"/>
          <w:divBdr>
            <w:top w:val="none" w:sz="0" w:space="0" w:color="auto"/>
            <w:left w:val="none" w:sz="0" w:space="0" w:color="auto"/>
            <w:bottom w:val="none" w:sz="0" w:space="0" w:color="auto"/>
            <w:right w:val="none" w:sz="0" w:space="0" w:color="auto"/>
          </w:divBdr>
        </w:div>
      </w:divsChild>
    </w:div>
    <w:div w:id="1976790986">
      <w:bodyDiv w:val="1"/>
      <w:marLeft w:val="0"/>
      <w:marRight w:val="0"/>
      <w:marTop w:val="0"/>
      <w:marBottom w:val="0"/>
      <w:divBdr>
        <w:top w:val="none" w:sz="0" w:space="0" w:color="auto"/>
        <w:left w:val="none" w:sz="0" w:space="0" w:color="auto"/>
        <w:bottom w:val="none" w:sz="0" w:space="0" w:color="auto"/>
        <w:right w:val="none" w:sz="0" w:space="0" w:color="auto"/>
      </w:divBdr>
      <w:divsChild>
        <w:div w:id="1528324059">
          <w:marLeft w:val="0"/>
          <w:marRight w:val="0"/>
          <w:marTop w:val="0"/>
          <w:marBottom w:val="0"/>
          <w:divBdr>
            <w:top w:val="none" w:sz="0" w:space="0" w:color="auto"/>
            <w:left w:val="none" w:sz="0" w:space="0" w:color="auto"/>
            <w:bottom w:val="none" w:sz="0" w:space="0" w:color="auto"/>
            <w:right w:val="none" w:sz="0" w:space="0" w:color="auto"/>
          </w:divBdr>
          <w:divsChild>
            <w:div w:id="687146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4696142">
      <w:bodyDiv w:val="1"/>
      <w:marLeft w:val="0"/>
      <w:marRight w:val="0"/>
      <w:marTop w:val="0"/>
      <w:marBottom w:val="0"/>
      <w:divBdr>
        <w:top w:val="none" w:sz="0" w:space="0" w:color="auto"/>
        <w:left w:val="none" w:sz="0" w:space="0" w:color="auto"/>
        <w:bottom w:val="none" w:sz="0" w:space="0" w:color="auto"/>
        <w:right w:val="none" w:sz="0" w:space="0" w:color="auto"/>
      </w:divBdr>
    </w:div>
    <w:div w:id="1986085456">
      <w:bodyDiv w:val="1"/>
      <w:marLeft w:val="0"/>
      <w:marRight w:val="0"/>
      <w:marTop w:val="0"/>
      <w:marBottom w:val="0"/>
      <w:divBdr>
        <w:top w:val="none" w:sz="0" w:space="0" w:color="auto"/>
        <w:left w:val="none" w:sz="0" w:space="0" w:color="auto"/>
        <w:bottom w:val="none" w:sz="0" w:space="0" w:color="auto"/>
        <w:right w:val="none" w:sz="0" w:space="0" w:color="auto"/>
      </w:divBdr>
    </w:div>
    <w:div w:id="1987927111">
      <w:bodyDiv w:val="1"/>
      <w:marLeft w:val="0"/>
      <w:marRight w:val="0"/>
      <w:marTop w:val="0"/>
      <w:marBottom w:val="0"/>
      <w:divBdr>
        <w:top w:val="none" w:sz="0" w:space="0" w:color="auto"/>
        <w:left w:val="none" w:sz="0" w:space="0" w:color="auto"/>
        <w:bottom w:val="none" w:sz="0" w:space="0" w:color="auto"/>
        <w:right w:val="none" w:sz="0" w:space="0" w:color="auto"/>
      </w:divBdr>
    </w:div>
    <w:div w:id="198831388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3409305">
      <w:bodyDiv w:val="1"/>
      <w:marLeft w:val="0"/>
      <w:marRight w:val="0"/>
      <w:marTop w:val="0"/>
      <w:marBottom w:val="0"/>
      <w:divBdr>
        <w:top w:val="none" w:sz="0" w:space="0" w:color="auto"/>
        <w:left w:val="none" w:sz="0" w:space="0" w:color="auto"/>
        <w:bottom w:val="none" w:sz="0" w:space="0" w:color="auto"/>
        <w:right w:val="none" w:sz="0" w:space="0" w:color="auto"/>
      </w:divBdr>
    </w:div>
    <w:div w:id="1997952628">
      <w:bodyDiv w:val="1"/>
      <w:marLeft w:val="0"/>
      <w:marRight w:val="0"/>
      <w:marTop w:val="0"/>
      <w:marBottom w:val="0"/>
      <w:divBdr>
        <w:top w:val="none" w:sz="0" w:space="0" w:color="auto"/>
        <w:left w:val="none" w:sz="0" w:space="0" w:color="auto"/>
        <w:bottom w:val="none" w:sz="0" w:space="0" w:color="auto"/>
        <w:right w:val="none" w:sz="0" w:space="0" w:color="auto"/>
      </w:divBdr>
    </w:div>
    <w:div w:id="1999191176">
      <w:bodyDiv w:val="1"/>
      <w:marLeft w:val="0"/>
      <w:marRight w:val="0"/>
      <w:marTop w:val="0"/>
      <w:marBottom w:val="0"/>
      <w:divBdr>
        <w:top w:val="none" w:sz="0" w:space="0" w:color="auto"/>
        <w:left w:val="none" w:sz="0" w:space="0" w:color="auto"/>
        <w:bottom w:val="none" w:sz="0" w:space="0" w:color="auto"/>
        <w:right w:val="none" w:sz="0" w:space="0" w:color="auto"/>
      </w:divBdr>
    </w:div>
    <w:div w:id="2010406676">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7725153">
      <w:bodyDiv w:val="1"/>
      <w:marLeft w:val="0"/>
      <w:marRight w:val="0"/>
      <w:marTop w:val="0"/>
      <w:marBottom w:val="0"/>
      <w:divBdr>
        <w:top w:val="none" w:sz="0" w:space="0" w:color="auto"/>
        <w:left w:val="none" w:sz="0" w:space="0" w:color="auto"/>
        <w:bottom w:val="none" w:sz="0" w:space="0" w:color="auto"/>
        <w:right w:val="none" w:sz="0" w:space="0" w:color="auto"/>
      </w:divBdr>
    </w:div>
    <w:div w:id="2019236251">
      <w:bodyDiv w:val="1"/>
      <w:marLeft w:val="0"/>
      <w:marRight w:val="0"/>
      <w:marTop w:val="0"/>
      <w:marBottom w:val="0"/>
      <w:divBdr>
        <w:top w:val="none" w:sz="0" w:space="0" w:color="auto"/>
        <w:left w:val="none" w:sz="0" w:space="0" w:color="auto"/>
        <w:bottom w:val="none" w:sz="0" w:space="0" w:color="auto"/>
        <w:right w:val="none" w:sz="0" w:space="0" w:color="auto"/>
      </w:divBdr>
    </w:div>
    <w:div w:id="2028751799">
      <w:bodyDiv w:val="1"/>
      <w:marLeft w:val="0"/>
      <w:marRight w:val="0"/>
      <w:marTop w:val="0"/>
      <w:marBottom w:val="0"/>
      <w:divBdr>
        <w:top w:val="none" w:sz="0" w:space="0" w:color="auto"/>
        <w:left w:val="none" w:sz="0" w:space="0" w:color="auto"/>
        <w:bottom w:val="none" w:sz="0" w:space="0" w:color="auto"/>
        <w:right w:val="none" w:sz="0" w:space="0" w:color="auto"/>
      </w:divBdr>
    </w:div>
    <w:div w:id="2029525247">
      <w:bodyDiv w:val="1"/>
      <w:marLeft w:val="0"/>
      <w:marRight w:val="0"/>
      <w:marTop w:val="0"/>
      <w:marBottom w:val="0"/>
      <w:divBdr>
        <w:top w:val="none" w:sz="0" w:space="0" w:color="auto"/>
        <w:left w:val="none" w:sz="0" w:space="0" w:color="auto"/>
        <w:bottom w:val="none" w:sz="0" w:space="0" w:color="auto"/>
        <w:right w:val="none" w:sz="0" w:space="0" w:color="auto"/>
      </w:divBdr>
    </w:div>
    <w:div w:id="2041322558">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6440537">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2728702">
      <w:bodyDiv w:val="1"/>
      <w:marLeft w:val="0"/>
      <w:marRight w:val="0"/>
      <w:marTop w:val="0"/>
      <w:marBottom w:val="0"/>
      <w:divBdr>
        <w:top w:val="none" w:sz="0" w:space="0" w:color="auto"/>
        <w:left w:val="none" w:sz="0" w:space="0" w:color="auto"/>
        <w:bottom w:val="none" w:sz="0" w:space="0" w:color="auto"/>
        <w:right w:val="none" w:sz="0" w:space="0" w:color="auto"/>
      </w:divBdr>
    </w:div>
    <w:div w:id="2058770718">
      <w:bodyDiv w:val="1"/>
      <w:marLeft w:val="0"/>
      <w:marRight w:val="0"/>
      <w:marTop w:val="0"/>
      <w:marBottom w:val="0"/>
      <w:divBdr>
        <w:top w:val="none" w:sz="0" w:space="0" w:color="auto"/>
        <w:left w:val="none" w:sz="0" w:space="0" w:color="auto"/>
        <w:bottom w:val="none" w:sz="0" w:space="0" w:color="auto"/>
        <w:right w:val="none" w:sz="0" w:space="0" w:color="auto"/>
      </w:divBdr>
      <w:divsChild>
        <w:div w:id="2120953702">
          <w:marLeft w:val="0"/>
          <w:marRight w:val="0"/>
          <w:marTop w:val="0"/>
          <w:marBottom w:val="0"/>
          <w:divBdr>
            <w:top w:val="none" w:sz="0" w:space="0" w:color="auto"/>
            <w:left w:val="none" w:sz="0" w:space="0" w:color="auto"/>
            <w:bottom w:val="none" w:sz="0" w:space="0" w:color="auto"/>
            <w:right w:val="none" w:sz="0" w:space="0" w:color="auto"/>
          </w:divBdr>
        </w:div>
      </w:divsChild>
    </w:div>
    <w:div w:id="2060010090">
      <w:bodyDiv w:val="1"/>
      <w:marLeft w:val="0"/>
      <w:marRight w:val="0"/>
      <w:marTop w:val="0"/>
      <w:marBottom w:val="0"/>
      <w:divBdr>
        <w:top w:val="none" w:sz="0" w:space="0" w:color="auto"/>
        <w:left w:val="none" w:sz="0" w:space="0" w:color="auto"/>
        <w:bottom w:val="none" w:sz="0" w:space="0" w:color="auto"/>
        <w:right w:val="none" w:sz="0" w:space="0" w:color="auto"/>
      </w:divBdr>
    </w:div>
    <w:div w:id="2065445717">
      <w:bodyDiv w:val="1"/>
      <w:marLeft w:val="0"/>
      <w:marRight w:val="0"/>
      <w:marTop w:val="0"/>
      <w:marBottom w:val="0"/>
      <w:divBdr>
        <w:top w:val="none" w:sz="0" w:space="0" w:color="auto"/>
        <w:left w:val="none" w:sz="0" w:space="0" w:color="auto"/>
        <w:bottom w:val="none" w:sz="0" w:space="0" w:color="auto"/>
        <w:right w:val="none" w:sz="0" w:space="0" w:color="auto"/>
      </w:divBdr>
    </w:div>
    <w:div w:id="2067141969">
      <w:bodyDiv w:val="1"/>
      <w:marLeft w:val="0"/>
      <w:marRight w:val="0"/>
      <w:marTop w:val="0"/>
      <w:marBottom w:val="0"/>
      <w:divBdr>
        <w:top w:val="none" w:sz="0" w:space="0" w:color="auto"/>
        <w:left w:val="none" w:sz="0" w:space="0" w:color="auto"/>
        <w:bottom w:val="none" w:sz="0" w:space="0" w:color="auto"/>
        <w:right w:val="none" w:sz="0" w:space="0" w:color="auto"/>
      </w:divBdr>
    </w:div>
    <w:div w:id="2067759059">
      <w:bodyDiv w:val="1"/>
      <w:marLeft w:val="0"/>
      <w:marRight w:val="0"/>
      <w:marTop w:val="0"/>
      <w:marBottom w:val="0"/>
      <w:divBdr>
        <w:top w:val="none" w:sz="0" w:space="0" w:color="auto"/>
        <w:left w:val="none" w:sz="0" w:space="0" w:color="auto"/>
        <w:bottom w:val="none" w:sz="0" w:space="0" w:color="auto"/>
        <w:right w:val="none" w:sz="0" w:space="0" w:color="auto"/>
      </w:divBdr>
    </w:div>
    <w:div w:id="2081517646">
      <w:bodyDiv w:val="1"/>
      <w:marLeft w:val="0"/>
      <w:marRight w:val="0"/>
      <w:marTop w:val="0"/>
      <w:marBottom w:val="0"/>
      <w:divBdr>
        <w:top w:val="none" w:sz="0" w:space="0" w:color="auto"/>
        <w:left w:val="none" w:sz="0" w:space="0" w:color="auto"/>
        <w:bottom w:val="none" w:sz="0" w:space="0" w:color="auto"/>
        <w:right w:val="none" w:sz="0" w:space="0" w:color="auto"/>
      </w:divBdr>
    </w:div>
    <w:div w:id="2082369753">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090731772">
      <w:bodyDiv w:val="1"/>
      <w:marLeft w:val="0"/>
      <w:marRight w:val="0"/>
      <w:marTop w:val="0"/>
      <w:marBottom w:val="0"/>
      <w:divBdr>
        <w:top w:val="none" w:sz="0" w:space="0" w:color="auto"/>
        <w:left w:val="none" w:sz="0" w:space="0" w:color="auto"/>
        <w:bottom w:val="none" w:sz="0" w:space="0" w:color="auto"/>
        <w:right w:val="none" w:sz="0" w:space="0" w:color="auto"/>
      </w:divBdr>
      <w:divsChild>
        <w:div w:id="1825468514">
          <w:marLeft w:val="0"/>
          <w:marRight w:val="0"/>
          <w:marTop w:val="0"/>
          <w:marBottom w:val="0"/>
          <w:divBdr>
            <w:top w:val="none" w:sz="0" w:space="0" w:color="auto"/>
            <w:left w:val="none" w:sz="0" w:space="0" w:color="auto"/>
            <w:bottom w:val="none" w:sz="0" w:space="0" w:color="auto"/>
            <w:right w:val="none" w:sz="0" w:space="0" w:color="auto"/>
          </w:divBdr>
        </w:div>
      </w:divsChild>
    </w:div>
    <w:div w:id="2113044358">
      <w:bodyDiv w:val="1"/>
      <w:marLeft w:val="0"/>
      <w:marRight w:val="0"/>
      <w:marTop w:val="0"/>
      <w:marBottom w:val="0"/>
      <w:divBdr>
        <w:top w:val="none" w:sz="0" w:space="0" w:color="auto"/>
        <w:left w:val="none" w:sz="0" w:space="0" w:color="auto"/>
        <w:bottom w:val="none" w:sz="0" w:space="0" w:color="auto"/>
        <w:right w:val="none" w:sz="0" w:space="0" w:color="auto"/>
      </w:divBdr>
    </w:div>
    <w:div w:id="211721144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fr.org/blog/strategic-petroleum-reserve-policy-response-oil-price-volatility" TargetMode="External"/><Relationship Id="rId18" Type="http://schemas.openxmlformats.org/officeDocument/2006/relationships/hyperlink" Target="https://www.cato.org/sites/cato.org/files/2019-09/regulation-v42n3-3.pdf" TargetMode="External"/><Relationship Id="rId26" Type="http://schemas.openxmlformats.org/officeDocument/2006/relationships/hyperlink" Target="https://www.heritage.org/environment/report/why-congress-should-pull-the-plug-the-strategic-petroleum-reserve" TargetMode="External"/><Relationship Id="rId39" Type="http://schemas.openxmlformats.org/officeDocument/2006/relationships/hyperlink" Target="https://www.cato.org/sites/cato.org/files/2019-09/regulation-v42n3-3.pdf" TargetMode="External"/><Relationship Id="rId21" Type="http://schemas.openxmlformats.org/officeDocument/2006/relationships/hyperlink" Target="https://www.heritage.org/environment/report/why-congress-should-pull-the-plug-the-strategic-petroleum-reserve" TargetMode="External"/><Relationship Id="rId34" Type="http://schemas.openxmlformats.org/officeDocument/2006/relationships/hyperlink" Target="https://www.bloomberg.com/news/articles/2017-05-23/trump-proposes-selling-off-half-the-u-s-strategic-oil-reserve" TargetMode="External"/><Relationship Id="rId42" Type="http://schemas.openxmlformats.org/officeDocument/2006/relationships/hyperlink" Target="https://fee.org/articles/oil-boom-and-government-glut/" TargetMode="External"/><Relationship Id="rId47" Type="http://schemas.openxmlformats.org/officeDocument/2006/relationships/hyperlink" Target="https://www.heritage.org/environment/report/why-congress-should-pull-the-plug-the-strategic-petroleum-reserve" TargetMode="External"/><Relationship Id="rId50" Type="http://schemas.openxmlformats.org/officeDocument/2006/relationships/hyperlink" Target="https://www.chicagotribune.com/columns/steve-chapman/ct-strategic-petroleum-reserve-oil-chapman-perspec-0528-md-20170526-column.html" TargetMode="External"/><Relationship Id="rId55" Type="http://schemas.openxmlformats.org/officeDocument/2006/relationships/hyperlink" Target="https://www.heritage.org/environment/report/why-congress-should-pull-the-plug-the-strategic-petroleum-reserv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heritage.org/environment/report/why-congress-should-pull-the-plug-the-strategic-petroleum-reserve" TargetMode="External"/><Relationship Id="rId29" Type="http://schemas.openxmlformats.org/officeDocument/2006/relationships/hyperlink" Target="https://www.heritage.org/environment/report/why-congress-should-pull-the-plug-the-strategic-petroleum-reserve" TargetMode="External"/><Relationship Id="rId11" Type="http://schemas.openxmlformats.org/officeDocument/2006/relationships/hyperlink" Target="https://www.reuters.com/article/us-usa-oil-contamination-exclusive/exclusive-firms-complain-of-contaminated-crude-from-u-s-reserve-idUSKBN1H50GI" TargetMode="External"/><Relationship Id="rId24" Type="http://schemas.openxmlformats.org/officeDocument/2006/relationships/hyperlink" Target="https://oilprice.com/Latest-Energy-News/World-News/Exxon-Complains-Of-Toxic-US-Govt-Crude-Oil.html" TargetMode="External"/><Relationship Id="rId32" Type="http://schemas.openxmlformats.org/officeDocument/2006/relationships/hyperlink" Target="https://www.heritage.org/environment/report/why-congress-should-pull-the-plug-the-strategic-petroleum-reserve" TargetMode="External"/><Relationship Id="rId37" Type="http://schemas.openxmlformats.org/officeDocument/2006/relationships/hyperlink" Target="https://www.insurancejournal.com/news/national/2019/04/15/523778.htm" TargetMode="External"/><Relationship Id="rId40" Type="http://schemas.openxmlformats.org/officeDocument/2006/relationships/hyperlink" Target="https://www.forbes.com/sites/lorensteffy/2015/03/18/why-the-strategic-petroleum-reserve-has-outlived-its-usefulness/" TargetMode="External"/><Relationship Id="rId45" Type="http://schemas.openxmlformats.org/officeDocument/2006/relationships/hyperlink" Target="https://fee.org/articles/oil-boom-and-government-glut/" TargetMode="External"/><Relationship Id="rId53" Type="http://schemas.openxmlformats.org/officeDocument/2006/relationships/hyperlink" Target="https://www.cato.org/publications/commentary/drain-strategic-petroleum-reserve" TargetMode="External"/><Relationship Id="rId58" Type="http://schemas.openxmlformats.org/officeDocument/2006/relationships/header" Target="header2.xml"/><Relationship Id="rId5" Type="http://schemas.openxmlformats.org/officeDocument/2006/relationships/webSettings" Target="webSettings.xml"/><Relationship Id="rId61" Type="http://schemas.openxmlformats.org/officeDocument/2006/relationships/header" Target="header3.xml"/><Relationship Id="rId19" Type="http://schemas.openxmlformats.org/officeDocument/2006/relationships/hyperlink" Target="https://www.cnbc.com/2018/07/24/what-happens-if-president-trump-taps-the-strategic-petroleum-reserve.html" TargetMode="External"/><Relationship Id="rId14" Type="http://schemas.openxmlformats.org/officeDocument/2006/relationships/hyperlink" Target="https://www.cato.org/sites/cato.org/files/2019-09/regulation-v42n3-3.pdf" TargetMode="External"/><Relationship Id="rId22" Type="http://schemas.openxmlformats.org/officeDocument/2006/relationships/hyperlink" Target="https://www.popularmechanics.com/technology/infrastructure/a19634690/us-poisoned-crude-oil/" TargetMode="External"/><Relationship Id="rId27" Type="http://schemas.openxmlformats.org/officeDocument/2006/relationships/hyperlink" Target="https://www.mic.com/articles/3922/government-should-not-regulate-the-free-market" TargetMode="External"/><Relationship Id="rId30" Type="http://schemas.openxmlformats.org/officeDocument/2006/relationships/hyperlink" Target="https://www.cfr.org/blog/strategic-petroleum-reserve-policy-response-oil-price-volatility" TargetMode="External"/><Relationship Id="rId35" Type="http://schemas.openxmlformats.org/officeDocument/2006/relationships/hyperlink" Target="https://www.heritage.org/environment/report/why-congress-should-pull-the-plug-the-strategic-petroleum-reserve" TargetMode="External"/><Relationship Id="rId43" Type="http://schemas.openxmlformats.org/officeDocument/2006/relationships/hyperlink" Target="https://www.chicagotribune.com/columns/steve-chapman/ct-strategic-petroleum-reserve-oil-chapman-perspec-0528-md-20170526-column.html" TargetMode="External"/><Relationship Id="rId48" Type="http://schemas.openxmlformats.org/officeDocument/2006/relationships/hyperlink" Target="https://www.cnbc.com/2018/07/24/what-happens-if-president-trump-taps-the-strategic-petroleum-reserve.html" TargetMode="External"/><Relationship Id="rId56" Type="http://schemas.openxmlformats.org/officeDocument/2006/relationships/hyperlink" Target="https://www.heritage.org/environment/report/why-congress-should-pull-the-plug-the-strategic-petroleum-reserve" TargetMode="External"/><Relationship Id="rId64" Type="http://schemas.openxmlformats.org/officeDocument/2006/relationships/theme" Target="theme/theme1.xml"/><Relationship Id="rId8" Type="http://schemas.openxmlformats.org/officeDocument/2006/relationships/hyperlink" Target="https://www.encyclopedia.com/environment/encyclopedias-almanacs-transcripts-and-maps/energy-policy" TargetMode="External"/><Relationship Id="rId51" Type="http://schemas.openxmlformats.org/officeDocument/2006/relationships/hyperlink" Target="https://www.cnbc.com/2018/07/24/what-happens-if-president-trump-taps-the-strategic-petroleum-reserve.html" TargetMode="External"/><Relationship Id="rId3" Type="http://schemas.openxmlformats.org/officeDocument/2006/relationships/styles" Target="styles.xml"/><Relationship Id="rId12" Type="http://schemas.openxmlformats.org/officeDocument/2006/relationships/hyperlink" Target="https://www.chicagotribune.com/columns/steve-chapman/ct-strategic-petroleum-reserve-oil-chapman-perspec-0528-md-20170526-column.html" TargetMode="External"/><Relationship Id="rId17" Type="http://schemas.openxmlformats.org/officeDocument/2006/relationships/hyperlink" Target="https://www.cfr.org/blog/strategic-petroleum-reserve-policy-response-oil-price-volatility" TargetMode="External"/><Relationship Id="rId25" Type="http://schemas.openxmlformats.org/officeDocument/2006/relationships/hyperlink" Target="https://oilprice.com/Latest-Energy-News/World-News/Exxon-Complains-Of-Toxic-US-Govt-Crude-Oil.html" TargetMode="External"/><Relationship Id="rId33" Type="http://schemas.openxmlformats.org/officeDocument/2006/relationships/hyperlink" Target="https://www.portman.senate.gov/newsroom/press-releases/portman-releasing-oil-spr-political-not-long-term-energy-solution" TargetMode="External"/><Relationship Id="rId38" Type="http://schemas.openxmlformats.org/officeDocument/2006/relationships/hyperlink" Target="https://www.heritage.org/environment/report/why-congress-should-pull-the-plug-the-strategic-petroleum-reserve" TargetMode="External"/><Relationship Id="rId46" Type="http://schemas.openxmlformats.org/officeDocument/2006/relationships/hyperlink" Target="https://www.ourenergypolicy.org/wp-content/uploads/2013/08/OPEC-Colgan.2013Mar.Copyedit-IO.pdf" TargetMode="External"/><Relationship Id="rId59" Type="http://schemas.openxmlformats.org/officeDocument/2006/relationships/footer" Target="footer1.xml"/><Relationship Id="rId20" Type="http://schemas.openxmlformats.org/officeDocument/2006/relationships/hyperlink" Target="https://www.heritage.org/environment/report/why-congress-should-pull-the-plug-the-strategic-petroleum-reserve" TargetMode="External"/><Relationship Id="rId41" Type="http://schemas.openxmlformats.org/officeDocument/2006/relationships/hyperlink" Target="https://foreignpolicy.com/2012/08/24/americas-real-strategic-petroleum-reserve/" TargetMode="External"/><Relationship Id="rId54" Type="http://schemas.openxmlformats.org/officeDocument/2006/relationships/hyperlink" Target="https://energypolicy.columbia.edu/research/report/new-realities-new-risks-rethinking-strategic-petroleum-reserve" TargetMode="External"/><Relationship Id="rId62"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forbes.com/sites/lorensteffy/2015/03/18/why-the-strategic-petroleum-reserve-has-outlived-its-usefulness/" TargetMode="External"/><Relationship Id="rId23" Type="http://schemas.openxmlformats.org/officeDocument/2006/relationships/hyperlink" Target="https://www.reuters.com/article/us-usa-oil-contamination-exclusive/exclusive-firms-complain-of-contaminated-crude-from-u-s-reserve-idUSKBN1H50GI" TargetMode="External"/><Relationship Id="rId28" Type="http://schemas.openxmlformats.org/officeDocument/2006/relationships/hyperlink" Target="https://www.houstonchronicle.com/business/article/Is-the-Strategic-Petroleum-Reserve-worth-the-cost-9214328.php" TargetMode="External"/><Relationship Id="rId36" Type="http://schemas.openxmlformats.org/officeDocument/2006/relationships/hyperlink" Target="https://www.chicagotribune.com/columns/steve-chapman/ct-strategic-petroleum-reserve-oil-chapman-perspec-0528-md-20170526-column.html" TargetMode="External"/><Relationship Id="rId49" Type="http://schemas.openxmlformats.org/officeDocument/2006/relationships/hyperlink" Target="https://fee.org/articles/oil-boom-and-government-glut/" TargetMode="External"/><Relationship Id="rId57" Type="http://schemas.openxmlformats.org/officeDocument/2006/relationships/header" Target="header1.xml"/><Relationship Id="rId10" Type="http://schemas.openxmlformats.org/officeDocument/2006/relationships/hyperlink" Target="https://www.popularmechanics.com/technology/infrastructure/a19634690/us-poisoned-crude-oil/" TargetMode="External"/><Relationship Id="rId31" Type="http://schemas.openxmlformats.org/officeDocument/2006/relationships/hyperlink" Target="https://www.cfr.org/blog/strategic-petroleum-reserve-policy-response-oil-price-volatility" TargetMode="External"/><Relationship Id="rId44" Type="http://schemas.openxmlformats.org/officeDocument/2006/relationships/hyperlink" Target="https://fee.org/articles/oil-boom-and-government-glut/" TargetMode="External"/><Relationship Id="rId52" Type="http://schemas.openxmlformats.org/officeDocument/2006/relationships/hyperlink" Target="https://energypolicy.columbia.edu/research/report/new-realities-new-risks-rethinking-strategic-petroleum-reserve" TargetMode="External"/><Relationship Id="rId6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thebalance.com/strategic-petroleum-reserve-33062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0C8F3-F084-414B-944F-0D3A45C31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7146</TotalTime>
  <Pages>20</Pages>
  <Words>11420</Words>
  <Characters>60643</Characters>
  <Application>Microsoft Office Word</Application>
  <DocSecurity>0</DocSecurity>
  <Lines>962</Lines>
  <Paragraphs>341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71722</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77</cp:revision>
  <cp:lastPrinted>2014-07-05T10:25:00Z</cp:lastPrinted>
  <dcterms:created xsi:type="dcterms:W3CDTF">2018-06-04T23:49:00Z</dcterms:created>
  <dcterms:modified xsi:type="dcterms:W3CDTF">2019-10-21T00:25:00Z</dcterms:modified>
</cp:coreProperties>
</file>